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4BAC" w:rsidR="000D72B4" w:rsidP="000D72B4" w:rsidRDefault="000D72B4" w14:paraId="2939BACC" w14:textId="77777777">
      <w:pPr>
        <w:numPr>
          <w:ilvl w:val="0"/>
          <w:numId w:val="0"/>
        </w:numPr>
        <w:spacing w:after="0"/>
        <w:jc w:val="center"/>
        <w:rPr>
          <w:b/>
          <w:bCs/>
          <w:smallCaps/>
          <w:lang w:val="en-GB"/>
        </w:rPr>
      </w:pPr>
    </w:p>
    <w:p w:rsidRPr="007C4BAC" w:rsidR="000D72B4" w:rsidP="000D72B4" w:rsidRDefault="000D72B4" w14:paraId="52A994D7" w14:textId="3E0B7DC4">
      <w:pPr>
        <w:numPr>
          <w:ilvl w:val="0"/>
          <w:numId w:val="0"/>
        </w:numPr>
        <w:jc w:val="center"/>
        <w:rPr>
          <w:b/>
          <w:bCs/>
          <w:smallCaps/>
          <w:lang w:val="en-GB"/>
        </w:rPr>
      </w:pPr>
      <w:r w:rsidRPr="007C4BAC">
        <w:rPr>
          <w:b/>
          <w:bCs/>
          <w:smallCaps/>
          <w:sz w:val="24"/>
          <w:szCs w:val="24"/>
          <w:lang w:val="en-GB"/>
        </w:rPr>
        <w:t xml:space="preserve">Joint </w:t>
      </w:r>
      <w:r w:rsidR="009C1C38">
        <w:rPr>
          <w:b/>
          <w:bCs/>
          <w:smallCaps/>
          <w:sz w:val="24"/>
          <w:szCs w:val="24"/>
          <w:lang w:val="en-GB"/>
        </w:rPr>
        <w:t>statement</w:t>
      </w:r>
      <w:r w:rsidRPr="007C4BAC" w:rsidR="009C1C38">
        <w:rPr>
          <w:b/>
          <w:bCs/>
          <w:smallCaps/>
          <w:sz w:val="24"/>
          <w:szCs w:val="24"/>
          <w:lang w:val="en-GB"/>
        </w:rPr>
        <w:t xml:space="preserve"> </w:t>
      </w:r>
      <w:r w:rsidRPr="007C4BAC">
        <w:rPr>
          <w:b/>
          <w:bCs/>
          <w:smallCaps/>
          <w:sz w:val="24"/>
          <w:szCs w:val="24"/>
          <w:lang w:val="en-GB"/>
        </w:rPr>
        <w:t>to the European Commission’s</w:t>
      </w:r>
      <w:r w:rsidRPr="007C4BAC">
        <w:rPr>
          <w:b/>
          <w:bCs/>
          <w:smallCaps/>
          <w:sz w:val="24"/>
          <w:szCs w:val="24"/>
          <w:lang w:val="en-GB"/>
        </w:rPr>
        <w:br/>
        <w:t>public consultation on the Draft Merger Guidelines</w:t>
      </w:r>
    </w:p>
    <w:p w:rsidRPr="007C4BAC" w:rsidR="000D72B4" w:rsidP="000D72B4" w:rsidRDefault="000D72B4" w14:paraId="3145CDAA" w14:textId="77777777">
      <w:pPr>
        <w:numPr>
          <w:ilvl w:val="0"/>
          <w:numId w:val="0"/>
        </w:numPr>
        <w:ind w:left="284"/>
        <w:rPr>
          <w:lang w:val="en-GB"/>
        </w:rPr>
      </w:pPr>
    </w:p>
    <w:p w:rsidRPr="007C4BAC" w:rsidR="00016536" w:rsidP="00946D50" w:rsidRDefault="00946D50" w14:paraId="58C65D77" w14:textId="30D92C4F">
      <w:pPr>
        <w:ind w:left="284" w:hanging="568"/>
        <w:rPr>
          <w:lang w:val="en-GB"/>
        </w:rPr>
      </w:pPr>
      <w:r w:rsidRPr="007C4BAC">
        <w:rPr>
          <w:lang w:val="en-GB"/>
        </w:rPr>
        <w:t>The</w:t>
      </w:r>
      <w:r w:rsidR="00B8371E">
        <w:rPr>
          <w:lang w:val="en-GB"/>
        </w:rPr>
        <w:t xml:space="preserve"> Spanish</w:t>
      </w:r>
      <w:r w:rsidRPr="007C4BAC">
        <w:rPr>
          <w:lang w:val="en-GB"/>
        </w:rPr>
        <w:t xml:space="preserve"> </w:t>
      </w:r>
      <w:proofErr w:type="spellStart"/>
      <w:r w:rsidRPr="007C4BAC">
        <w:rPr>
          <w:i/>
          <w:iCs/>
          <w:lang w:val="en-GB"/>
        </w:rPr>
        <w:t>Asociación</w:t>
      </w:r>
      <w:proofErr w:type="spellEnd"/>
      <w:r w:rsidRPr="007C4BAC">
        <w:rPr>
          <w:i/>
          <w:iCs/>
          <w:lang w:val="en-GB"/>
        </w:rPr>
        <w:t xml:space="preserve"> Española para la Defensa de la Competencia</w:t>
      </w:r>
      <w:r w:rsidRPr="007C4BAC">
        <w:rPr>
          <w:lang w:val="en-GB"/>
        </w:rPr>
        <w:t>, the</w:t>
      </w:r>
      <w:r w:rsidR="00B8371E">
        <w:rPr>
          <w:lang w:val="en-GB"/>
        </w:rPr>
        <w:t xml:space="preserve"> Italian</w:t>
      </w:r>
      <w:r w:rsidRPr="007C4BAC">
        <w:rPr>
          <w:lang w:val="en-GB"/>
        </w:rPr>
        <w:t xml:space="preserve"> </w:t>
      </w:r>
      <w:proofErr w:type="spellStart"/>
      <w:r w:rsidRPr="007C4BAC">
        <w:rPr>
          <w:i/>
          <w:iCs/>
          <w:lang w:val="en-GB"/>
        </w:rPr>
        <w:t>Associazione</w:t>
      </w:r>
      <w:proofErr w:type="spellEnd"/>
      <w:r w:rsidRPr="007C4BAC">
        <w:rPr>
          <w:i/>
          <w:iCs/>
          <w:lang w:val="en-GB"/>
        </w:rPr>
        <w:t xml:space="preserve"> Antitrust </w:t>
      </w:r>
      <w:proofErr w:type="spellStart"/>
      <w:r w:rsidRPr="007C4BAC">
        <w:rPr>
          <w:i/>
          <w:iCs/>
          <w:lang w:val="en-GB"/>
        </w:rPr>
        <w:t>Italiana</w:t>
      </w:r>
      <w:proofErr w:type="spellEnd"/>
      <w:r w:rsidRPr="007C4BAC">
        <w:rPr>
          <w:lang w:val="en-GB"/>
        </w:rPr>
        <w:t>, the</w:t>
      </w:r>
      <w:r w:rsidR="00B8371E">
        <w:rPr>
          <w:lang w:val="en-GB"/>
        </w:rPr>
        <w:t xml:space="preserve"> German</w:t>
      </w:r>
      <w:r w:rsidRPr="007C4BAC">
        <w:rPr>
          <w:lang w:val="en-GB"/>
        </w:rPr>
        <w:t xml:space="preserve"> </w:t>
      </w:r>
      <w:proofErr w:type="spellStart"/>
      <w:r w:rsidRPr="007C4BAC">
        <w:rPr>
          <w:i/>
          <w:iCs/>
          <w:lang w:val="en-GB"/>
        </w:rPr>
        <w:t>Studienvereinigung</w:t>
      </w:r>
      <w:proofErr w:type="spellEnd"/>
      <w:r w:rsidRPr="007C4BAC">
        <w:rPr>
          <w:i/>
          <w:iCs/>
          <w:lang w:val="en-GB"/>
        </w:rPr>
        <w:t xml:space="preserve"> </w:t>
      </w:r>
      <w:proofErr w:type="spellStart"/>
      <w:r w:rsidRPr="007C4BAC">
        <w:rPr>
          <w:i/>
          <w:iCs/>
          <w:lang w:val="en-GB"/>
        </w:rPr>
        <w:t>Kartellrecht</w:t>
      </w:r>
      <w:proofErr w:type="spellEnd"/>
      <w:r w:rsidRPr="007C4BAC">
        <w:rPr>
          <w:lang w:val="en-GB"/>
        </w:rPr>
        <w:t>, the</w:t>
      </w:r>
      <w:r w:rsidR="00B8371E">
        <w:rPr>
          <w:lang w:val="en-GB"/>
        </w:rPr>
        <w:t xml:space="preserve"> Dutch</w:t>
      </w:r>
      <w:r w:rsidRPr="007C4BAC">
        <w:rPr>
          <w:lang w:val="en-GB"/>
        </w:rPr>
        <w:t xml:space="preserve"> </w:t>
      </w:r>
      <w:r w:rsidRPr="007C4BAC" w:rsidR="00BB0F3F">
        <w:rPr>
          <w:i/>
          <w:iCs/>
          <w:lang w:val="en-GB"/>
        </w:rPr>
        <w:t xml:space="preserve">Vereniging </w:t>
      </w:r>
      <w:proofErr w:type="spellStart"/>
      <w:r w:rsidRPr="007C4BAC" w:rsidR="00BB0F3F">
        <w:rPr>
          <w:i/>
          <w:iCs/>
          <w:lang w:val="en-GB"/>
        </w:rPr>
        <w:t>voor</w:t>
      </w:r>
      <w:proofErr w:type="spellEnd"/>
      <w:r w:rsidRPr="007C4BAC" w:rsidR="00BB0F3F">
        <w:rPr>
          <w:i/>
          <w:iCs/>
          <w:lang w:val="en-GB"/>
        </w:rPr>
        <w:t xml:space="preserve"> </w:t>
      </w:r>
      <w:proofErr w:type="spellStart"/>
      <w:r w:rsidRPr="007C4BAC" w:rsidR="00BB0F3F">
        <w:rPr>
          <w:i/>
          <w:iCs/>
          <w:lang w:val="en-GB"/>
        </w:rPr>
        <w:t>Mededingingsrecht</w:t>
      </w:r>
      <w:proofErr w:type="spellEnd"/>
      <w:r w:rsidRPr="007C4BAC" w:rsidR="00BB0F3F">
        <w:rPr>
          <w:lang w:val="en-GB"/>
        </w:rPr>
        <w:t xml:space="preserve"> and the</w:t>
      </w:r>
      <w:r w:rsidR="00B8371E">
        <w:rPr>
          <w:lang w:val="en-GB"/>
        </w:rPr>
        <w:t xml:space="preserve"> French</w:t>
      </w:r>
      <w:r w:rsidRPr="007C4BAC" w:rsidR="00BB0F3F">
        <w:rPr>
          <w:lang w:val="en-GB"/>
        </w:rPr>
        <w:t xml:space="preserve"> </w:t>
      </w:r>
      <w:r w:rsidRPr="007C4BAC" w:rsidR="00BB0F3F">
        <w:rPr>
          <w:i/>
          <w:iCs/>
          <w:lang w:val="en-GB"/>
        </w:rPr>
        <w:t xml:space="preserve">Association des avocats </w:t>
      </w:r>
      <w:proofErr w:type="spellStart"/>
      <w:r w:rsidRPr="007C4BAC" w:rsidR="00BB0F3F">
        <w:rPr>
          <w:i/>
          <w:iCs/>
          <w:lang w:val="en-GB"/>
        </w:rPr>
        <w:t>pratiquant</w:t>
      </w:r>
      <w:proofErr w:type="spellEnd"/>
      <w:r w:rsidRPr="007C4BAC" w:rsidR="00BB0F3F">
        <w:rPr>
          <w:i/>
          <w:iCs/>
          <w:lang w:val="en-GB"/>
        </w:rPr>
        <w:t xml:space="preserve"> le droit de la concurrence</w:t>
      </w:r>
      <w:r w:rsidRPr="007C4BAC" w:rsidR="00BB0F3F">
        <w:rPr>
          <w:lang w:val="en-GB"/>
        </w:rPr>
        <w:t xml:space="preserve"> </w:t>
      </w:r>
      <w:r w:rsidRPr="007C4BAC" w:rsidR="00B267AE">
        <w:rPr>
          <w:lang w:val="en-GB"/>
        </w:rPr>
        <w:t>(</w:t>
      </w:r>
      <w:r w:rsidRPr="007C4BAC" w:rsidR="002F6240">
        <w:rPr>
          <w:lang w:val="en-GB"/>
        </w:rPr>
        <w:t xml:space="preserve">together, </w:t>
      </w:r>
      <w:r w:rsidRPr="007C4BAC" w:rsidR="00B267AE">
        <w:rPr>
          <w:lang w:val="en-GB"/>
        </w:rPr>
        <w:t>the “</w:t>
      </w:r>
      <w:r w:rsidRPr="007C4BAC" w:rsidR="00B267AE">
        <w:rPr>
          <w:b/>
          <w:bCs/>
          <w:lang w:val="en-GB"/>
        </w:rPr>
        <w:t>Associations</w:t>
      </w:r>
      <w:r w:rsidRPr="007C4BAC" w:rsidR="00B267AE">
        <w:rPr>
          <w:lang w:val="en-GB"/>
        </w:rPr>
        <w:t xml:space="preserve">”) </w:t>
      </w:r>
      <w:r w:rsidRPr="007C4BAC" w:rsidR="00BB0F3F">
        <w:rPr>
          <w:lang w:val="en-GB"/>
        </w:rPr>
        <w:t xml:space="preserve">welcome the opportunity to </w:t>
      </w:r>
      <w:r w:rsidR="00CE1878">
        <w:rPr>
          <w:lang w:val="en-GB"/>
        </w:rPr>
        <w:t xml:space="preserve">jointly </w:t>
      </w:r>
      <w:r w:rsidRPr="007C4BAC" w:rsidR="00BB0F3F">
        <w:rPr>
          <w:lang w:val="en-GB"/>
        </w:rPr>
        <w:t xml:space="preserve">provide </w:t>
      </w:r>
      <w:r w:rsidR="00CE1878">
        <w:rPr>
          <w:lang w:val="en-GB"/>
        </w:rPr>
        <w:t xml:space="preserve">their key </w:t>
      </w:r>
      <w:r w:rsidRPr="007C4BAC" w:rsidR="00BB0F3F">
        <w:rPr>
          <w:lang w:val="en-GB"/>
        </w:rPr>
        <w:t>comments on the European Commission’s Draft Merger Guidelines.</w:t>
      </w:r>
    </w:p>
    <w:p w:rsidRPr="007C4BAC" w:rsidR="00BB0F3F" w:rsidP="00C62091" w:rsidRDefault="002B3D49" w14:paraId="3A3F3E4C" w14:textId="21E5740C">
      <w:pPr>
        <w:numPr>
          <w:ilvl w:val="0"/>
          <w:numId w:val="0"/>
        </w:numPr>
        <w:ind w:left="284"/>
        <w:rPr>
          <w:lang w:val="en-GB"/>
        </w:rPr>
      </w:pPr>
      <w:r>
        <w:rPr>
          <w:lang w:val="en-GB"/>
        </w:rPr>
        <w:t>Most of the</w:t>
      </w:r>
      <w:r w:rsidRPr="007C4BAC">
        <w:rPr>
          <w:lang w:val="en-GB"/>
        </w:rPr>
        <w:t xml:space="preserve"> </w:t>
      </w:r>
      <w:r w:rsidRPr="007C4BAC" w:rsidR="00BB0F3F">
        <w:rPr>
          <w:lang w:val="en-GB"/>
        </w:rPr>
        <w:t>association</w:t>
      </w:r>
      <w:r>
        <w:rPr>
          <w:lang w:val="en-GB"/>
        </w:rPr>
        <w:t>s</w:t>
      </w:r>
      <w:r w:rsidRPr="007C4BAC" w:rsidR="00BB0F3F">
        <w:rPr>
          <w:lang w:val="en-GB"/>
        </w:rPr>
        <w:t xml:space="preserve"> ha</w:t>
      </w:r>
      <w:r>
        <w:rPr>
          <w:lang w:val="en-GB"/>
        </w:rPr>
        <w:t>ve</w:t>
      </w:r>
      <w:r w:rsidRPr="007C4BAC" w:rsidR="00BB0F3F">
        <w:rPr>
          <w:lang w:val="en-GB"/>
        </w:rPr>
        <w:t xml:space="preserve"> provided </w:t>
      </w:r>
      <w:r>
        <w:rPr>
          <w:lang w:val="en-GB"/>
        </w:rPr>
        <w:t>their</w:t>
      </w:r>
      <w:r w:rsidRPr="007C4BAC">
        <w:rPr>
          <w:lang w:val="en-GB"/>
        </w:rPr>
        <w:t xml:space="preserve"> </w:t>
      </w:r>
      <w:r w:rsidRPr="007C4BAC" w:rsidR="003B3CE0">
        <w:rPr>
          <w:lang w:val="en-GB"/>
        </w:rPr>
        <w:t xml:space="preserve">contribution to the </w:t>
      </w:r>
      <w:r w:rsidRPr="007C4BAC" w:rsidR="002F6240">
        <w:rPr>
          <w:lang w:val="en-GB"/>
        </w:rPr>
        <w:t xml:space="preserve">European </w:t>
      </w:r>
      <w:r w:rsidRPr="007C4BAC" w:rsidR="003B3CE0">
        <w:rPr>
          <w:lang w:val="en-GB"/>
        </w:rPr>
        <w:t>Commission’s consultation</w:t>
      </w:r>
      <w:r w:rsidRPr="007C4BAC" w:rsidR="00BB0F3F">
        <w:rPr>
          <w:lang w:val="en-GB"/>
        </w:rPr>
        <w:t xml:space="preserve"> on the Draft Merger Guidelines. In parallel and given the </w:t>
      </w:r>
      <w:r w:rsidRPr="00BC41E4" w:rsidR="00BC41E4">
        <w:rPr>
          <w:lang w:val="en-GB"/>
        </w:rPr>
        <w:t xml:space="preserve">far-reaching significance </w:t>
      </w:r>
      <w:r w:rsidRPr="007C4BAC" w:rsidR="00BB0F3F">
        <w:rPr>
          <w:lang w:val="en-GB"/>
        </w:rPr>
        <w:t>of the Merger Guidelines</w:t>
      </w:r>
      <w:r w:rsidR="002A4765">
        <w:rPr>
          <w:lang w:val="en-GB"/>
        </w:rPr>
        <w:t xml:space="preserve"> </w:t>
      </w:r>
      <w:r w:rsidRPr="002A4765" w:rsidR="002A4765">
        <w:rPr>
          <w:lang w:val="en-GB"/>
        </w:rPr>
        <w:t>for merger control practice across the European Union</w:t>
      </w:r>
      <w:r w:rsidRPr="007C4BAC" w:rsidR="00BB0F3F">
        <w:rPr>
          <w:lang w:val="en-GB"/>
        </w:rPr>
        <w:t xml:space="preserve">, </w:t>
      </w:r>
      <w:r w:rsidRPr="007C4BAC" w:rsidR="003B3CE0">
        <w:rPr>
          <w:lang w:val="en-GB"/>
        </w:rPr>
        <w:t>the</w:t>
      </w:r>
      <w:r w:rsidRPr="007C4BAC" w:rsidR="00C62091">
        <w:rPr>
          <w:lang w:val="en-GB"/>
        </w:rPr>
        <w:t xml:space="preserve"> </w:t>
      </w:r>
      <w:r w:rsidRPr="007C4BAC" w:rsidR="003B3CE0">
        <w:rPr>
          <w:lang w:val="en-GB"/>
        </w:rPr>
        <w:t>A</w:t>
      </w:r>
      <w:r w:rsidRPr="007C4BAC" w:rsidR="00BB0F3F">
        <w:rPr>
          <w:lang w:val="en-GB"/>
        </w:rPr>
        <w:t xml:space="preserve">ssociations wish to jointly </w:t>
      </w:r>
      <w:r w:rsidRPr="002A4765" w:rsidR="002A4765">
        <w:rPr>
          <w:lang w:val="en-GB"/>
        </w:rPr>
        <w:t xml:space="preserve">underscore </w:t>
      </w:r>
      <w:r w:rsidRPr="007C4BAC" w:rsidR="00BB0F3F">
        <w:rPr>
          <w:lang w:val="en-GB"/>
        </w:rPr>
        <w:t>the following key points</w:t>
      </w:r>
      <w:r w:rsidR="002A4765">
        <w:rPr>
          <w:lang w:val="en-GB"/>
        </w:rPr>
        <w:t xml:space="preserve">, </w:t>
      </w:r>
      <w:r w:rsidRPr="002A4765" w:rsidR="002A4765">
        <w:rPr>
          <w:lang w:val="en-GB"/>
        </w:rPr>
        <w:t>which are supported by a broad consensus among the practitioners engaged in the drafting and reviewing of the national contributions</w:t>
      </w:r>
      <w:r w:rsidRPr="007C4BAC" w:rsidR="00BB0F3F">
        <w:rPr>
          <w:lang w:val="en-GB"/>
        </w:rPr>
        <w:t xml:space="preserve">. </w:t>
      </w:r>
    </w:p>
    <w:p w:rsidRPr="007C4BAC" w:rsidR="00C62091" w:rsidP="00C62091" w:rsidRDefault="002F6240" w14:paraId="71496C99" w14:textId="69D2721C">
      <w:pPr>
        <w:ind w:left="284" w:hanging="568"/>
        <w:rPr>
          <w:lang w:val="en-GB"/>
        </w:rPr>
      </w:pPr>
      <w:r w:rsidRPr="007C4BAC">
        <w:rPr>
          <w:b/>
          <w:bCs/>
          <w:lang w:val="en-GB"/>
        </w:rPr>
        <w:t xml:space="preserve">The European Commission </w:t>
      </w:r>
      <w:r w:rsidRPr="007C4BAC" w:rsidR="00E54FC9">
        <w:rPr>
          <w:b/>
          <w:bCs/>
          <w:lang w:val="en-GB"/>
        </w:rPr>
        <w:t>appears to be</w:t>
      </w:r>
      <w:r w:rsidRPr="007C4BAC">
        <w:rPr>
          <w:b/>
          <w:bCs/>
          <w:lang w:val="en-GB"/>
        </w:rPr>
        <w:t xml:space="preserve"> taking merger review in the right direction</w:t>
      </w:r>
      <w:r w:rsidRPr="007C4BAC">
        <w:rPr>
          <w:lang w:val="en-GB"/>
        </w:rPr>
        <w:t>.</w:t>
      </w:r>
      <w:r w:rsidRPr="007C4BAC" w:rsidR="00C62091">
        <w:rPr>
          <w:lang w:val="en-GB"/>
        </w:rPr>
        <w:t xml:space="preserve"> </w:t>
      </w:r>
      <w:r w:rsidRPr="007C4BAC">
        <w:rPr>
          <w:lang w:val="en-GB"/>
        </w:rPr>
        <w:t>T</w:t>
      </w:r>
      <w:r w:rsidRPr="007C4BAC" w:rsidR="00C62091">
        <w:rPr>
          <w:lang w:val="en-GB"/>
        </w:rPr>
        <w:t>he European Commission’s efforts to moderni</w:t>
      </w:r>
      <w:r w:rsidR="001A18E7">
        <w:rPr>
          <w:lang w:val="en-GB"/>
        </w:rPr>
        <w:t>s</w:t>
      </w:r>
      <w:r w:rsidRPr="007C4BAC" w:rsidR="00C62091">
        <w:rPr>
          <w:lang w:val="en-GB"/>
        </w:rPr>
        <w:t xml:space="preserve">e </w:t>
      </w:r>
      <w:r w:rsidRPr="007C4BAC" w:rsidR="00B267AE">
        <w:rPr>
          <w:lang w:val="en-GB"/>
        </w:rPr>
        <w:t xml:space="preserve">the </w:t>
      </w:r>
      <w:r w:rsidRPr="007C4BAC">
        <w:rPr>
          <w:lang w:val="en-GB"/>
        </w:rPr>
        <w:t>M</w:t>
      </w:r>
      <w:r w:rsidRPr="007C4BAC" w:rsidR="00B267AE">
        <w:rPr>
          <w:lang w:val="en-GB"/>
        </w:rPr>
        <w:t>erger</w:t>
      </w:r>
      <w:r w:rsidRPr="007C4BAC" w:rsidR="00C62091">
        <w:rPr>
          <w:lang w:val="en-GB"/>
        </w:rPr>
        <w:t xml:space="preserve"> </w:t>
      </w:r>
      <w:r w:rsidRPr="007C4BAC">
        <w:rPr>
          <w:lang w:val="en-GB"/>
        </w:rPr>
        <w:t>G</w:t>
      </w:r>
      <w:r w:rsidRPr="007C4BAC" w:rsidR="00C62091">
        <w:rPr>
          <w:lang w:val="en-GB"/>
        </w:rPr>
        <w:t xml:space="preserve">uidelines </w:t>
      </w:r>
      <w:r w:rsidR="001A18E7">
        <w:rPr>
          <w:lang w:val="en-GB"/>
        </w:rPr>
        <w:t>are</w:t>
      </w:r>
      <w:r w:rsidRPr="007C4BAC" w:rsidR="00C62091">
        <w:rPr>
          <w:lang w:val="en-GB"/>
        </w:rPr>
        <w:t xml:space="preserve"> to be commended. In a </w:t>
      </w:r>
      <w:r w:rsidR="004C1F05">
        <w:rPr>
          <w:lang w:val="en-GB"/>
        </w:rPr>
        <w:t>shifting</w:t>
      </w:r>
      <w:r w:rsidRPr="007C4BAC" w:rsidR="004C1F05">
        <w:rPr>
          <w:lang w:val="en-GB"/>
        </w:rPr>
        <w:t xml:space="preserve"> </w:t>
      </w:r>
      <w:r w:rsidRPr="007C4BAC" w:rsidR="00C62091">
        <w:rPr>
          <w:lang w:val="en-GB"/>
        </w:rPr>
        <w:t xml:space="preserve">geopolitical </w:t>
      </w:r>
      <w:r w:rsidR="004C1F05">
        <w:rPr>
          <w:lang w:val="en-GB"/>
        </w:rPr>
        <w:t xml:space="preserve">and digital </w:t>
      </w:r>
      <w:r w:rsidRPr="007C4BAC" w:rsidR="00C62091">
        <w:rPr>
          <w:lang w:val="en-GB"/>
        </w:rPr>
        <w:t xml:space="preserve">environment, European firms face </w:t>
      </w:r>
      <w:r w:rsidR="00ED2047">
        <w:rPr>
          <w:lang w:val="en-GB"/>
        </w:rPr>
        <w:t>dynamic</w:t>
      </w:r>
      <w:r w:rsidRPr="007C4BAC" w:rsidR="00ED2047">
        <w:rPr>
          <w:lang w:val="en-GB"/>
        </w:rPr>
        <w:t xml:space="preserve"> </w:t>
      </w:r>
      <w:r w:rsidRPr="007C4BAC" w:rsidR="00C62091">
        <w:rPr>
          <w:lang w:val="en-GB"/>
        </w:rPr>
        <w:t>competiti</w:t>
      </w:r>
      <w:r w:rsidR="00ED2047">
        <w:rPr>
          <w:lang w:val="en-GB"/>
        </w:rPr>
        <w:t xml:space="preserve">ve pressures that are </w:t>
      </w:r>
      <w:r w:rsidRPr="007C4BAC" w:rsidR="00C62091">
        <w:rPr>
          <w:lang w:val="en-GB"/>
        </w:rPr>
        <w:t xml:space="preserve">not always properly accounted for in the 2004 Horizontal </w:t>
      </w:r>
      <w:r w:rsidRPr="007C4BAC">
        <w:rPr>
          <w:lang w:val="en-GB"/>
        </w:rPr>
        <w:t>G</w:t>
      </w:r>
      <w:r w:rsidRPr="007C4BAC" w:rsidR="00C62091">
        <w:rPr>
          <w:lang w:val="en-GB"/>
        </w:rPr>
        <w:t xml:space="preserve">uidelines or in the 2008 Non-Horizontal Guidelines. </w:t>
      </w:r>
    </w:p>
    <w:p w:rsidRPr="007C4BAC" w:rsidR="00C62091" w:rsidP="002F0BF7" w:rsidRDefault="00E54FC9" w14:paraId="4D87DCFB" w14:textId="5B44505E">
      <w:pPr>
        <w:numPr>
          <w:ilvl w:val="0"/>
          <w:numId w:val="0"/>
        </w:numPr>
        <w:ind w:left="284"/>
        <w:rPr>
          <w:lang w:val="en-GB"/>
        </w:rPr>
      </w:pPr>
      <w:r w:rsidRPr="007C4BAC">
        <w:rPr>
          <w:lang w:val="en-GB"/>
        </w:rPr>
        <w:t>The Associations support the Commission’s objective to incentivi</w:t>
      </w:r>
      <w:r w:rsidR="001A18E7">
        <w:rPr>
          <w:lang w:val="en-GB"/>
        </w:rPr>
        <w:t>s</w:t>
      </w:r>
      <w:r w:rsidRPr="007C4BAC">
        <w:rPr>
          <w:lang w:val="en-GB"/>
        </w:rPr>
        <w:t>e firms</w:t>
      </w:r>
      <w:r w:rsidR="003C4634">
        <w:rPr>
          <w:lang w:val="en-GB"/>
        </w:rPr>
        <w:t xml:space="preserve"> to bring forward</w:t>
      </w:r>
      <w:r w:rsidRPr="007C4BAC">
        <w:rPr>
          <w:lang w:val="en-GB"/>
        </w:rPr>
        <w:t xml:space="preserve"> </w:t>
      </w:r>
      <w:r w:rsidR="00ED2047">
        <w:rPr>
          <w:lang w:val="en-GB"/>
        </w:rPr>
        <w:t>transactions</w:t>
      </w:r>
      <w:r w:rsidRPr="007C4BAC">
        <w:rPr>
          <w:lang w:val="en-GB"/>
        </w:rPr>
        <w:t xml:space="preserve"> that enhance competitiveness</w:t>
      </w:r>
      <w:r w:rsidR="00346140">
        <w:rPr>
          <w:lang w:val="en-GB"/>
        </w:rPr>
        <w:t>, innovation</w:t>
      </w:r>
      <w:r w:rsidRPr="007C4BAC">
        <w:rPr>
          <w:lang w:val="en-GB"/>
        </w:rPr>
        <w:t xml:space="preserve"> and growth</w:t>
      </w:r>
      <w:r w:rsidRPr="007C4BAC">
        <w:rPr>
          <w:rStyle w:val="FootnoteReference"/>
          <w:lang w:val="en-GB"/>
        </w:rPr>
        <w:footnoteReference w:id="1"/>
      </w:r>
      <w:r w:rsidRPr="007C4BAC">
        <w:rPr>
          <w:lang w:val="en-GB"/>
        </w:rPr>
        <w:t xml:space="preserve">. </w:t>
      </w:r>
      <w:r w:rsidR="0009466F">
        <w:rPr>
          <w:lang w:val="en-GB"/>
        </w:rPr>
        <w:t>By</w:t>
      </w:r>
      <w:r w:rsidRPr="007C4BAC" w:rsidR="0009466F">
        <w:rPr>
          <w:lang w:val="en-GB"/>
        </w:rPr>
        <w:t xml:space="preserve"> </w:t>
      </w:r>
      <w:r w:rsidRPr="007C4BAC" w:rsidR="00C62091">
        <w:rPr>
          <w:lang w:val="en-GB"/>
        </w:rPr>
        <w:t>moving towards a more dynamic analytical framework, with a more objective assessment of efficiencies</w:t>
      </w:r>
      <w:r w:rsidR="00346140">
        <w:rPr>
          <w:lang w:val="en-GB"/>
        </w:rPr>
        <w:t xml:space="preserve"> and greater recognition of the role of innovation and investment incentives in driving competition</w:t>
      </w:r>
      <w:r w:rsidRPr="007C4BAC" w:rsidR="00C62091">
        <w:rPr>
          <w:lang w:val="en-GB"/>
        </w:rPr>
        <w:t xml:space="preserve">, the European Commission </w:t>
      </w:r>
      <w:r w:rsidR="00D410E0">
        <w:rPr>
          <w:lang w:val="en-GB"/>
        </w:rPr>
        <w:t>will be better equipped to evaluate concentrations that are necessary</w:t>
      </w:r>
      <w:r w:rsidRPr="007C4BAC" w:rsidR="00D410E0">
        <w:rPr>
          <w:lang w:val="en-GB"/>
        </w:rPr>
        <w:t xml:space="preserve"> </w:t>
      </w:r>
      <w:r w:rsidRPr="007C4BAC" w:rsidR="003B10B0">
        <w:rPr>
          <w:lang w:val="en-GB"/>
        </w:rPr>
        <w:t xml:space="preserve">to improve </w:t>
      </w:r>
      <w:r w:rsidR="003C4634">
        <w:rPr>
          <w:lang w:val="en-GB"/>
        </w:rPr>
        <w:t>the</w:t>
      </w:r>
      <w:r w:rsidRPr="007C4BAC" w:rsidR="003C4634">
        <w:rPr>
          <w:lang w:val="en-GB"/>
        </w:rPr>
        <w:t xml:space="preserve"> </w:t>
      </w:r>
      <w:r w:rsidRPr="007C4BAC" w:rsidR="003B10B0">
        <w:rPr>
          <w:lang w:val="en-GB"/>
        </w:rPr>
        <w:t>resilience</w:t>
      </w:r>
      <w:r w:rsidR="00647351">
        <w:rPr>
          <w:lang w:val="en-GB"/>
        </w:rPr>
        <w:t>,</w:t>
      </w:r>
      <w:r w:rsidR="00346140">
        <w:rPr>
          <w:lang w:val="en-GB"/>
        </w:rPr>
        <w:t xml:space="preserve"> innovative capacity</w:t>
      </w:r>
      <w:r w:rsidRPr="00BE48DE" w:rsidR="00BE48DE">
        <w:rPr>
          <w:lang w:val="en-GB"/>
        </w:rPr>
        <w:t xml:space="preserve"> </w:t>
      </w:r>
      <w:r w:rsidR="00BE48DE">
        <w:rPr>
          <w:lang w:val="en-GB"/>
        </w:rPr>
        <w:t xml:space="preserve">and </w:t>
      </w:r>
      <w:r w:rsidRPr="007C4BAC" w:rsidR="00BE48DE">
        <w:rPr>
          <w:lang w:val="en-GB"/>
        </w:rPr>
        <w:t>competitiveness</w:t>
      </w:r>
      <w:r w:rsidR="005F579A">
        <w:rPr>
          <w:lang w:val="en-GB"/>
        </w:rPr>
        <w:t xml:space="preserve"> of the European market</w:t>
      </w:r>
      <w:r w:rsidRPr="007C4BAC" w:rsidR="003B10B0">
        <w:rPr>
          <w:lang w:val="en-GB"/>
        </w:rPr>
        <w:t>.</w:t>
      </w:r>
      <w:r w:rsidRPr="007C4BAC" w:rsidR="00D26CE5">
        <w:rPr>
          <w:lang w:val="en-GB"/>
        </w:rPr>
        <w:t xml:space="preserve"> </w:t>
      </w:r>
      <w:r w:rsidRPr="007C4BAC">
        <w:rPr>
          <w:lang w:val="en-GB"/>
        </w:rPr>
        <w:t xml:space="preserve">The European Commission should ensure that its </w:t>
      </w:r>
      <w:r w:rsidR="00342722">
        <w:rPr>
          <w:lang w:val="en-GB"/>
        </w:rPr>
        <w:t xml:space="preserve">practical </w:t>
      </w:r>
      <w:r w:rsidRPr="007C4BAC">
        <w:rPr>
          <w:lang w:val="en-GB"/>
        </w:rPr>
        <w:t xml:space="preserve">application of the final Merger Guidelines </w:t>
      </w:r>
      <w:r w:rsidR="00342722">
        <w:rPr>
          <w:lang w:val="en-GB"/>
        </w:rPr>
        <w:t>remains</w:t>
      </w:r>
      <w:r w:rsidRPr="007C4BAC">
        <w:rPr>
          <w:lang w:val="en-GB"/>
        </w:rPr>
        <w:t xml:space="preserve"> consistent with </w:t>
      </w:r>
      <w:r w:rsidR="00E22ADF">
        <w:rPr>
          <w:lang w:val="en-GB"/>
        </w:rPr>
        <w:t xml:space="preserve">this </w:t>
      </w:r>
      <w:r w:rsidRPr="007C4BAC">
        <w:rPr>
          <w:lang w:val="en-GB"/>
        </w:rPr>
        <w:t>approach.</w:t>
      </w:r>
    </w:p>
    <w:p w:rsidRPr="007C4BAC" w:rsidR="00B267AE" w:rsidP="0017035B" w:rsidRDefault="002F6240" w14:paraId="00AC9394" w14:textId="4104CBE4">
      <w:pPr>
        <w:ind w:left="284" w:hanging="568"/>
        <w:rPr>
          <w:lang w:val="en-GB"/>
        </w:rPr>
      </w:pPr>
      <w:r w:rsidRPr="007C4BAC">
        <w:rPr>
          <w:b/>
          <w:bCs/>
          <w:lang w:val="en-GB"/>
        </w:rPr>
        <w:t xml:space="preserve">The Merger Guidelines and their implementation </w:t>
      </w:r>
      <w:r w:rsidR="00A61A9C">
        <w:rPr>
          <w:b/>
          <w:bCs/>
          <w:lang w:val="en-GB"/>
        </w:rPr>
        <w:t>should</w:t>
      </w:r>
      <w:r w:rsidRPr="007C4BAC">
        <w:rPr>
          <w:b/>
          <w:bCs/>
          <w:lang w:val="en-GB"/>
        </w:rPr>
        <w:t xml:space="preserve"> not stray from the </w:t>
      </w:r>
      <w:r w:rsidR="00E03559">
        <w:rPr>
          <w:b/>
          <w:bCs/>
          <w:lang w:val="en-GB"/>
        </w:rPr>
        <w:t xml:space="preserve">Union </w:t>
      </w:r>
      <w:r w:rsidRPr="007C4BAC">
        <w:rPr>
          <w:b/>
          <w:bCs/>
          <w:lang w:val="en-GB"/>
        </w:rPr>
        <w:t>Courts</w:t>
      </w:r>
      <w:r w:rsidR="00E03559">
        <w:rPr>
          <w:b/>
          <w:bCs/>
          <w:lang w:val="en-GB"/>
        </w:rPr>
        <w:t>’</w:t>
      </w:r>
      <w:r w:rsidRPr="007C4BAC">
        <w:rPr>
          <w:b/>
          <w:bCs/>
          <w:lang w:val="en-GB"/>
        </w:rPr>
        <w:t xml:space="preserve"> </w:t>
      </w:r>
      <w:r w:rsidR="00E22ADF">
        <w:rPr>
          <w:b/>
          <w:bCs/>
          <w:lang w:val="en-GB"/>
        </w:rPr>
        <w:t xml:space="preserve">established </w:t>
      </w:r>
      <w:r w:rsidR="00A61A9C">
        <w:rPr>
          <w:b/>
          <w:bCs/>
          <w:lang w:val="en-GB"/>
        </w:rPr>
        <w:t>case law</w:t>
      </w:r>
      <w:r w:rsidRPr="007C4BAC">
        <w:rPr>
          <w:b/>
          <w:bCs/>
          <w:lang w:val="en-GB"/>
        </w:rPr>
        <w:t xml:space="preserve"> on the burden of proof</w:t>
      </w:r>
      <w:r w:rsidRPr="007C4BAC">
        <w:rPr>
          <w:lang w:val="en-GB"/>
        </w:rPr>
        <w:t>.</w:t>
      </w:r>
      <w:r w:rsidRPr="007C4BAC" w:rsidR="002F0BF7">
        <w:rPr>
          <w:lang w:val="en-GB"/>
        </w:rPr>
        <w:t xml:space="preserve"> </w:t>
      </w:r>
      <w:r w:rsidRPr="007C4BAC">
        <w:rPr>
          <w:lang w:val="en-GB"/>
        </w:rPr>
        <w:t>A</w:t>
      </w:r>
      <w:r w:rsidRPr="007C4BAC" w:rsidR="002F0BF7">
        <w:rPr>
          <w:lang w:val="en-GB"/>
        </w:rPr>
        <w:t xml:space="preserve">s the Commission </w:t>
      </w:r>
      <w:r w:rsidRPr="007C4BAC" w:rsidR="00D26CE5">
        <w:rPr>
          <w:lang w:val="en-GB"/>
        </w:rPr>
        <w:t>acknowledge</w:t>
      </w:r>
      <w:r w:rsidR="00E22ADF">
        <w:rPr>
          <w:lang w:val="en-GB"/>
        </w:rPr>
        <w:t>s</w:t>
      </w:r>
      <w:r w:rsidRPr="007C4BAC" w:rsidR="00D26CE5">
        <w:rPr>
          <w:lang w:val="en-GB"/>
        </w:rPr>
        <w:t>, the Draft Guidelines</w:t>
      </w:r>
      <w:r w:rsidRPr="007C4BAC" w:rsidR="00B267AE">
        <w:rPr>
          <w:lang w:val="en-GB"/>
        </w:rPr>
        <w:t xml:space="preserve"> reflect </w:t>
      </w:r>
      <w:r w:rsidR="00E22ADF">
        <w:rPr>
          <w:lang w:val="en-GB"/>
        </w:rPr>
        <w:t>its own</w:t>
      </w:r>
      <w:r w:rsidR="00C43080">
        <w:rPr>
          <w:lang w:val="en-GB"/>
        </w:rPr>
        <w:t xml:space="preserve"> </w:t>
      </w:r>
      <w:r w:rsidRPr="007C4BAC" w:rsidR="00B267AE">
        <w:rPr>
          <w:lang w:val="en-GB"/>
        </w:rPr>
        <w:t>interpretation of the EUMR, without prejudice to the interpretation that may be given by the Union Courts</w:t>
      </w:r>
      <w:r w:rsidRPr="007C4BAC" w:rsidR="00B267AE">
        <w:rPr>
          <w:rStyle w:val="FootnoteReference"/>
          <w:lang w:val="en-GB"/>
        </w:rPr>
        <w:footnoteReference w:id="2"/>
      </w:r>
      <w:r w:rsidRPr="007C4BAC" w:rsidR="00B267AE">
        <w:rPr>
          <w:lang w:val="en-GB"/>
        </w:rPr>
        <w:t>.</w:t>
      </w:r>
      <w:r w:rsidRPr="007C4BAC">
        <w:rPr>
          <w:lang w:val="en-GB"/>
        </w:rPr>
        <w:t xml:space="preserve"> </w:t>
      </w:r>
      <w:r w:rsidRPr="007C4BAC" w:rsidR="00B267AE">
        <w:rPr>
          <w:lang w:val="en-GB"/>
        </w:rPr>
        <w:t xml:space="preserve">In this context, the Associations </w:t>
      </w:r>
      <w:r w:rsidR="00C43080">
        <w:rPr>
          <w:lang w:val="en-GB"/>
        </w:rPr>
        <w:t>emphasi</w:t>
      </w:r>
      <w:r w:rsidR="004718E1">
        <w:rPr>
          <w:lang w:val="en-GB"/>
        </w:rPr>
        <w:t>s</w:t>
      </w:r>
      <w:r w:rsidR="00C43080">
        <w:rPr>
          <w:lang w:val="en-GB"/>
        </w:rPr>
        <w:t>e</w:t>
      </w:r>
      <w:r w:rsidRPr="007C4BAC" w:rsidR="00B267AE">
        <w:rPr>
          <w:lang w:val="en-GB"/>
        </w:rPr>
        <w:t xml:space="preserve"> that the </w:t>
      </w:r>
      <w:r w:rsidR="00F85FF4">
        <w:rPr>
          <w:lang w:val="en-GB"/>
        </w:rPr>
        <w:t xml:space="preserve">final version of the </w:t>
      </w:r>
      <w:r w:rsidRPr="007C4BAC" w:rsidR="00B267AE">
        <w:rPr>
          <w:lang w:val="en-GB"/>
        </w:rPr>
        <w:t xml:space="preserve">Merger Guidelines should fully respect the </w:t>
      </w:r>
      <w:r w:rsidR="00B536BC">
        <w:rPr>
          <w:lang w:val="en-GB"/>
        </w:rPr>
        <w:t xml:space="preserve">standard of proof articulated </w:t>
      </w:r>
      <w:r w:rsidRPr="007C4BAC" w:rsidR="00B267AE">
        <w:rPr>
          <w:lang w:val="en-GB"/>
        </w:rPr>
        <w:t>by the Union Courts</w:t>
      </w:r>
      <w:r w:rsidR="00320AAE">
        <w:rPr>
          <w:lang w:val="en-GB"/>
        </w:rPr>
        <w:t xml:space="preserve"> which requires </w:t>
      </w:r>
      <w:r w:rsidRPr="007C4BAC" w:rsidR="000C5683">
        <w:rPr>
          <w:lang w:val="en-GB"/>
        </w:rPr>
        <w:t>the Commission to establish, based on a cogent and consistent body of evidence, that a merger is more likely than not to give rise to a SIEC.</w:t>
      </w:r>
    </w:p>
    <w:p w:rsidRPr="007C4BAC" w:rsidR="000C5683" w:rsidP="00B267AE" w:rsidRDefault="009C05C2" w14:paraId="06E2DD98" w14:textId="274DD7F1">
      <w:pPr>
        <w:numPr>
          <w:ilvl w:val="0"/>
          <w:numId w:val="0"/>
        </w:numPr>
        <w:tabs>
          <w:tab w:val="num" w:pos="720"/>
        </w:tabs>
        <w:ind w:left="284"/>
        <w:rPr>
          <w:lang w:val="en-GB"/>
        </w:rPr>
      </w:pPr>
      <w:r>
        <w:rPr>
          <w:lang w:val="en-GB"/>
        </w:rPr>
        <w:t xml:space="preserve">While </w:t>
      </w:r>
      <w:r w:rsidRPr="007C4BAC" w:rsidR="00E54FC9">
        <w:rPr>
          <w:lang w:val="en-GB"/>
        </w:rPr>
        <w:t>t</w:t>
      </w:r>
      <w:r w:rsidRPr="007C4BAC" w:rsidR="002F6240">
        <w:rPr>
          <w:lang w:val="en-GB"/>
        </w:rPr>
        <w:t>he Draft Guidelines refer to this principle</w:t>
      </w:r>
      <w:r w:rsidRPr="007C4BAC" w:rsidR="00E54FC9">
        <w:rPr>
          <w:rStyle w:val="FootnoteReference"/>
          <w:lang w:val="en-GB"/>
        </w:rPr>
        <w:footnoteReference w:id="3"/>
      </w:r>
      <w:r w:rsidRPr="007C4BAC" w:rsidR="002F6240">
        <w:rPr>
          <w:lang w:val="en-GB"/>
        </w:rPr>
        <w:t xml:space="preserve"> </w:t>
      </w:r>
      <w:r>
        <w:rPr>
          <w:lang w:val="en-GB"/>
        </w:rPr>
        <w:t>their practical provisions</w:t>
      </w:r>
      <w:r w:rsidR="00CF3666">
        <w:rPr>
          <w:lang w:val="en-GB"/>
        </w:rPr>
        <w:t xml:space="preserve"> </w:t>
      </w:r>
      <w:r w:rsidRPr="007C4BAC" w:rsidR="000C5683">
        <w:rPr>
          <w:lang w:val="en-GB"/>
        </w:rPr>
        <w:t xml:space="preserve">appear to </w:t>
      </w:r>
      <w:r w:rsidR="00CF3666">
        <w:rPr>
          <w:lang w:val="en-GB"/>
        </w:rPr>
        <w:t xml:space="preserve">shift </w:t>
      </w:r>
      <w:r w:rsidRPr="007C4BAC" w:rsidR="000C5683">
        <w:rPr>
          <w:lang w:val="en-GB"/>
        </w:rPr>
        <w:t>the onus on</w:t>
      </w:r>
      <w:r w:rsidR="00CF3666">
        <w:rPr>
          <w:lang w:val="en-GB"/>
        </w:rPr>
        <w:t>to</w:t>
      </w:r>
      <w:r w:rsidRPr="007C4BAC" w:rsidR="000C5683">
        <w:rPr>
          <w:lang w:val="en-GB"/>
        </w:rPr>
        <w:t xml:space="preserve"> the notifying parties, </w:t>
      </w:r>
      <w:r w:rsidR="00CF3666">
        <w:rPr>
          <w:lang w:val="en-GB"/>
        </w:rPr>
        <w:t xml:space="preserve">by </w:t>
      </w:r>
      <w:r w:rsidRPr="007C4BAC" w:rsidR="000C5683">
        <w:rPr>
          <w:lang w:val="en-GB"/>
        </w:rPr>
        <w:t xml:space="preserve">requiring </w:t>
      </w:r>
      <w:r w:rsidR="00CF3666">
        <w:rPr>
          <w:lang w:val="en-GB"/>
        </w:rPr>
        <w:t>them</w:t>
      </w:r>
      <w:r w:rsidRPr="007C4BAC" w:rsidR="00CF3666">
        <w:rPr>
          <w:lang w:val="en-GB"/>
        </w:rPr>
        <w:t xml:space="preserve"> </w:t>
      </w:r>
      <w:r w:rsidR="00CF3666">
        <w:rPr>
          <w:lang w:val="en-GB"/>
        </w:rPr>
        <w:t xml:space="preserve">to </w:t>
      </w:r>
      <w:r w:rsidRPr="007C4BAC" w:rsidR="000C5683">
        <w:rPr>
          <w:lang w:val="en-GB"/>
        </w:rPr>
        <w:t>produce a</w:t>
      </w:r>
      <w:r w:rsidR="00CF3666">
        <w:rPr>
          <w:lang w:val="en-GB"/>
        </w:rPr>
        <w:t xml:space="preserve">n </w:t>
      </w:r>
      <w:r w:rsidR="00EF4005">
        <w:rPr>
          <w:lang w:val="en-GB"/>
        </w:rPr>
        <w:t xml:space="preserve">excessively </w:t>
      </w:r>
      <w:r w:rsidR="004718E1">
        <w:rPr>
          <w:lang w:val="en-GB"/>
        </w:rPr>
        <w:t>h</w:t>
      </w:r>
      <w:r w:rsidR="00EF4005">
        <w:rPr>
          <w:lang w:val="en-GB"/>
        </w:rPr>
        <w:t xml:space="preserve">igh baseline of disproving </w:t>
      </w:r>
      <w:r w:rsidRPr="007C4BAC" w:rsidR="000C5683">
        <w:rPr>
          <w:lang w:val="en-GB"/>
        </w:rPr>
        <w:lastRenderedPageBreak/>
        <w:t>evidence</w:t>
      </w:r>
      <w:r w:rsidRPr="007C4BAC" w:rsidR="009040A6">
        <w:rPr>
          <w:rStyle w:val="FootnoteReference"/>
          <w:lang w:val="en-GB"/>
        </w:rPr>
        <w:footnoteReference w:id="4"/>
      </w:r>
      <w:r w:rsidRPr="007C4BAC" w:rsidR="009040A6">
        <w:rPr>
          <w:lang w:val="en-GB"/>
        </w:rPr>
        <w:t xml:space="preserve">. The Commission </w:t>
      </w:r>
      <w:r w:rsidR="002B3D49">
        <w:rPr>
          <w:lang w:val="en-GB"/>
        </w:rPr>
        <w:t>should</w:t>
      </w:r>
      <w:r w:rsidRPr="007C4BAC" w:rsidR="009040A6">
        <w:rPr>
          <w:lang w:val="en-GB"/>
        </w:rPr>
        <w:t xml:space="preserve"> ensure that </w:t>
      </w:r>
      <w:r w:rsidRPr="007C4BAC" w:rsidR="00E54FC9">
        <w:rPr>
          <w:lang w:val="en-GB"/>
        </w:rPr>
        <w:t xml:space="preserve">both </w:t>
      </w:r>
      <w:r w:rsidRPr="007C4BAC" w:rsidR="009040A6">
        <w:rPr>
          <w:lang w:val="en-GB"/>
        </w:rPr>
        <w:t xml:space="preserve">the final version of the </w:t>
      </w:r>
      <w:r w:rsidRPr="007C4BAC" w:rsidR="00E54FC9">
        <w:rPr>
          <w:lang w:val="en-GB"/>
        </w:rPr>
        <w:t xml:space="preserve">Merger </w:t>
      </w:r>
      <w:r w:rsidRPr="007C4BAC" w:rsidR="009040A6">
        <w:rPr>
          <w:lang w:val="en-GB"/>
        </w:rPr>
        <w:t>Guidelines</w:t>
      </w:r>
      <w:r w:rsidRPr="007C4BAC" w:rsidR="00E54FC9">
        <w:rPr>
          <w:lang w:val="en-GB"/>
        </w:rPr>
        <w:t xml:space="preserve"> and </w:t>
      </w:r>
      <w:r w:rsidR="00EF4005">
        <w:rPr>
          <w:lang w:val="en-GB"/>
        </w:rPr>
        <w:t>its practical</w:t>
      </w:r>
      <w:r w:rsidRPr="007C4BAC" w:rsidR="00EF4005">
        <w:rPr>
          <w:lang w:val="en-GB"/>
        </w:rPr>
        <w:t xml:space="preserve"> </w:t>
      </w:r>
      <w:r w:rsidRPr="007C4BAC" w:rsidR="00E54FC9">
        <w:rPr>
          <w:lang w:val="en-GB"/>
        </w:rPr>
        <w:t>application are</w:t>
      </w:r>
      <w:r w:rsidRPr="007C4BAC" w:rsidR="009040A6">
        <w:rPr>
          <w:lang w:val="en-GB"/>
        </w:rPr>
        <w:t xml:space="preserve"> fully aligned with </w:t>
      </w:r>
      <w:r w:rsidR="00EF4005">
        <w:rPr>
          <w:lang w:val="en-GB"/>
        </w:rPr>
        <w:t>settled</w:t>
      </w:r>
      <w:r w:rsidRPr="007C4BAC" w:rsidR="009040A6">
        <w:rPr>
          <w:lang w:val="en-GB"/>
        </w:rPr>
        <w:t xml:space="preserve"> case</w:t>
      </w:r>
      <w:r w:rsidR="001A18E7">
        <w:rPr>
          <w:lang w:val="en-GB"/>
        </w:rPr>
        <w:t xml:space="preserve"> </w:t>
      </w:r>
      <w:r w:rsidRPr="007C4BAC" w:rsidR="009040A6">
        <w:rPr>
          <w:lang w:val="en-GB"/>
        </w:rPr>
        <w:t>law</w:t>
      </w:r>
      <w:r w:rsidR="002B3D49">
        <w:rPr>
          <w:lang w:val="en-GB"/>
        </w:rPr>
        <w:t xml:space="preserve"> </w:t>
      </w:r>
      <w:r w:rsidR="00EF4005">
        <w:rPr>
          <w:lang w:val="en-GB"/>
        </w:rPr>
        <w:t xml:space="preserve">to prevent any </w:t>
      </w:r>
      <w:r w:rsidRPr="00A54D4E" w:rsidR="00EF4005">
        <w:rPr>
          <w:i/>
          <w:iCs/>
          <w:lang w:val="en-GB"/>
        </w:rPr>
        <w:t>de facto</w:t>
      </w:r>
      <w:r w:rsidR="00EF4005">
        <w:rPr>
          <w:lang w:val="en-GB"/>
        </w:rPr>
        <w:t xml:space="preserve"> </w:t>
      </w:r>
      <w:r w:rsidR="002B3D49">
        <w:rPr>
          <w:lang w:val="en-GB"/>
        </w:rPr>
        <w:t>reversal of the burden of proof</w:t>
      </w:r>
      <w:r w:rsidRPr="007C4BAC" w:rsidR="009040A6">
        <w:rPr>
          <w:lang w:val="en-GB"/>
        </w:rPr>
        <w:t xml:space="preserve">. </w:t>
      </w:r>
    </w:p>
    <w:p w:rsidRPr="007C4BAC" w:rsidR="00D02FB3" w:rsidP="00C62091" w:rsidRDefault="00567093" w14:paraId="43DE439C" w14:textId="1988F598">
      <w:pPr>
        <w:tabs>
          <w:tab w:val="num" w:pos="720"/>
        </w:tabs>
        <w:ind w:left="284" w:hanging="568"/>
        <w:rPr>
          <w:lang w:val="en-GB"/>
        </w:rPr>
      </w:pPr>
      <w:r w:rsidRPr="007C4BAC">
        <w:rPr>
          <w:b/>
          <w:bCs/>
          <w:lang w:val="en-GB"/>
        </w:rPr>
        <w:t xml:space="preserve">The Merger Guidelines </w:t>
      </w:r>
      <w:r w:rsidR="00A61A9C">
        <w:rPr>
          <w:b/>
          <w:bCs/>
          <w:lang w:val="en-GB"/>
        </w:rPr>
        <w:t xml:space="preserve">should </w:t>
      </w:r>
      <w:r w:rsidRPr="007C4BAC">
        <w:rPr>
          <w:b/>
          <w:bCs/>
          <w:lang w:val="en-GB"/>
        </w:rPr>
        <w:t>provide</w:t>
      </w:r>
      <w:r w:rsidR="004718E1">
        <w:rPr>
          <w:b/>
          <w:bCs/>
          <w:lang w:val="en-GB"/>
        </w:rPr>
        <w:t xml:space="preserve"> a</w:t>
      </w:r>
      <w:r w:rsidRPr="007C4BAC">
        <w:rPr>
          <w:b/>
          <w:bCs/>
          <w:lang w:val="en-GB"/>
        </w:rPr>
        <w:t xml:space="preserve"> </w:t>
      </w:r>
      <w:r w:rsidR="00EF4005">
        <w:rPr>
          <w:b/>
          <w:bCs/>
          <w:lang w:val="en-GB"/>
        </w:rPr>
        <w:t>high</w:t>
      </w:r>
      <w:r w:rsidRPr="007C4BAC" w:rsidR="00EF4005">
        <w:rPr>
          <w:b/>
          <w:bCs/>
          <w:lang w:val="en-GB"/>
        </w:rPr>
        <w:t xml:space="preserve"> </w:t>
      </w:r>
      <w:r w:rsidR="00EF4005">
        <w:rPr>
          <w:b/>
          <w:bCs/>
          <w:lang w:val="en-GB"/>
        </w:rPr>
        <w:t xml:space="preserve">degree of </w:t>
      </w:r>
      <w:r w:rsidRPr="007C4BAC">
        <w:rPr>
          <w:b/>
          <w:bCs/>
          <w:lang w:val="en-GB"/>
        </w:rPr>
        <w:t>predictab</w:t>
      </w:r>
      <w:r w:rsidRPr="007C4BAC" w:rsidR="007C4BAC">
        <w:rPr>
          <w:b/>
          <w:bCs/>
          <w:lang w:val="en-GB"/>
        </w:rPr>
        <w:t>ility</w:t>
      </w:r>
      <w:r w:rsidRPr="007C4BAC">
        <w:rPr>
          <w:b/>
          <w:bCs/>
          <w:lang w:val="en-GB"/>
        </w:rPr>
        <w:t xml:space="preserve"> and </w:t>
      </w:r>
      <w:r w:rsidR="00EF4005">
        <w:rPr>
          <w:b/>
          <w:bCs/>
          <w:lang w:val="en-GB"/>
        </w:rPr>
        <w:t xml:space="preserve">legal </w:t>
      </w:r>
      <w:r w:rsidRPr="007C4BAC">
        <w:rPr>
          <w:b/>
          <w:bCs/>
          <w:lang w:val="en-GB"/>
        </w:rPr>
        <w:t>certain</w:t>
      </w:r>
      <w:r w:rsidRPr="007C4BAC" w:rsidR="007C4BAC">
        <w:rPr>
          <w:b/>
          <w:bCs/>
          <w:lang w:val="en-GB"/>
        </w:rPr>
        <w:t>ty</w:t>
      </w:r>
      <w:r w:rsidRPr="007C4BAC">
        <w:rPr>
          <w:lang w:val="en-GB"/>
        </w:rPr>
        <w:t>.</w:t>
      </w:r>
      <w:r w:rsidRPr="007C4BAC" w:rsidR="009040A6">
        <w:rPr>
          <w:lang w:val="en-GB"/>
        </w:rPr>
        <w:t xml:space="preserve"> </w:t>
      </w:r>
      <w:r w:rsidRPr="007C4BAC">
        <w:rPr>
          <w:lang w:val="en-GB"/>
        </w:rPr>
        <w:t>T</w:t>
      </w:r>
      <w:r w:rsidRPr="007C4BAC" w:rsidR="009040A6">
        <w:rPr>
          <w:lang w:val="en-GB"/>
        </w:rPr>
        <w:t xml:space="preserve">he Draghi Report made clear that to increase competitiveness, Europe should streamline </w:t>
      </w:r>
      <w:r w:rsidR="00EF4005">
        <w:rPr>
          <w:lang w:val="en-GB"/>
        </w:rPr>
        <w:t xml:space="preserve">procedures </w:t>
      </w:r>
      <w:r w:rsidRPr="007C4BAC" w:rsidR="009040A6">
        <w:rPr>
          <w:lang w:val="en-GB"/>
        </w:rPr>
        <w:t xml:space="preserve">and alleviate the administrative burden faced by </w:t>
      </w:r>
      <w:r w:rsidR="00B10A99">
        <w:rPr>
          <w:lang w:val="en-GB"/>
        </w:rPr>
        <w:t>market players</w:t>
      </w:r>
      <w:r w:rsidRPr="007C4BAC" w:rsidR="009040A6">
        <w:rPr>
          <w:lang w:val="en-GB"/>
        </w:rPr>
        <w:t>. In this regard,</w:t>
      </w:r>
      <w:r w:rsidRPr="007C4BAC" w:rsidR="002F0BF7">
        <w:rPr>
          <w:lang w:val="en-GB"/>
        </w:rPr>
        <w:t xml:space="preserve"> </w:t>
      </w:r>
      <w:r w:rsidRPr="007C4BAC" w:rsidR="00C62091">
        <w:rPr>
          <w:lang w:val="en-GB"/>
        </w:rPr>
        <w:t xml:space="preserve">the </w:t>
      </w:r>
      <w:r w:rsidR="00B10A99">
        <w:rPr>
          <w:lang w:val="en-GB"/>
        </w:rPr>
        <w:t>final version of the Merger</w:t>
      </w:r>
      <w:r w:rsidRPr="007C4BAC" w:rsidR="00B10A99">
        <w:rPr>
          <w:lang w:val="en-GB"/>
        </w:rPr>
        <w:t xml:space="preserve"> </w:t>
      </w:r>
      <w:r w:rsidRPr="007C4BAC" w:rsidR="00C62091">
        <w:rPr>
          <w:lang w:val="en-GB"/>
        </w:rPr>
        <w:t>Guideline</w:t>
      </w:r>
      <w:r w:rsidRPr="007C4BAC" w:rsidR="002F0BF7">
        <w:rPr>
          <w:lang w:val="en-GB"/>
        </w:rPr>
        <w:t>s</w:t>
      </w:r>
      <w:r w:rsidRPr="007C4BAC" w:rsidR="009040A6">
        <w:rPr>
          <w:lang w:val="en-GB"/>
        </w:rPr>
        <w:t xml:space="preserve"> </w:t>
      </w:r>
      <w:proofErr w:type="gramStart"/>
      <w:r w:rsidRPr="007C4BAC" w:rsidR="009040A6">
        <w:rPr>
          <w:lang w:val="en-GB"/>
        </w:rPr>
        <w:t>need</w:t>
      </w:r>
      <w:proofErr w:type="gramEnd"/>
      <w:r w:rsidRPr="007C4BAC" w:rsidR="009040A6">
        <w:rPr>
          <w:lang w:val="en-GB"/>
        </w:rPr>
        <w:t xml:space="preserve"> to find a </w:t>
      </w:r>
      <w:r w:rsidR="00B10A99">
        <w:rPr>
          <w:lang w:val="en-GB"/>
        </w:rPr>
        <w:t xml:space="preserve">careful </w:t>
      </w:r>
      <w:r w:rsidRPr="007C4BAC" w:rsidR="009040A6">
        <w:rPr>
          <w:lang w:val="en-GB"/>
        </w:rPr>
        <w:t>balance</w:t>
      </w:r>
      <w:r w:rsidR="004718E1">
        <w:rPr>
          <w:lang w:val="en-GB"/>
        </w:rPr>
        <w:t xml:space="preserve"> to</w:t>
      </w:r>
      <w:r w:rsidR="00B10A99">
        <w:rPr>
          <w:lang w:val="en-GB"/>
        </w:rPr>
        <w:t xml:space="preserve"> </w:t>
      </w:r>
      <w:r w:rsidR="0087206D">
        <w:rPr>
          <w:lang w:val="en-GB"/>
        </w:rPr>
        <w:t>accommodat</w:t>
      </w:r>
      <w:r w:rsidR="004718E1">
        <w:rPr>
          <w:lang w:val="en-GB"/>
        </w:rPr>
        <w:t>e</w:t>
      </w:r>
      <w:r w:rsidRPr="007C4BAC" w:rsidR="009040A6">
        <w:rPr>
          <w:lang w:val="en-GB"/>
        </w:rPr>
        <w:t xml:space="preserve"> dynamic market realities in complex cases without creating</w:t>
      </w:r>
      <w:r w:rsidRPr="007C4BAC" w:rsidR="00C62091">
        <w:rPr>
          <w:lang w:val="en-GB"/>
        </w:rPr>
        <w:t xml:space="preserve"> additional </w:t>
      </w:r>
      <w:r w:rsidR="00C509DF">
        <w:rPr>
          <w:lang w:val="en-GB"/>
        </w:rPr>
        <w:t xml:space="preserve">disproportionate </w:t>
      </w:r>
      <w:r w:rsidRPr="007C4BAC" w:rsidR="00C62091">
        <w:rPr>
          <w:lang w:val="en-GB"/>
        </w:rPr>
        <w:t>complexit</w:t>
      </w:r>
      <w:r w:rsidRPr="007C4BAC" w:rsidR="009040A6">
        <w:rPr>
          <w:lang w:val="en-GB"/>
        </w:rPr>
        <w:t xml:space="preserve">ies for more straightforward matters. </w:t>
      </w:r>
      <w:r w:rsidR="0087206D">
        <w:rPr>
          <w:lang w:val="en-GB"/>
        </w:rPr>
        <w:t xml:space="preserve">All market players </w:t>
      </w:r>
      <w:r w:rsidR="003534FE">
        <w:rPr>
          <w:lang w:val="en-GB"/>
        </w:rPr>
        <w:t xml:space="preserve">require clear </w:t>
      </w:r>
      <w:r w:rsidRPr="007C4BAC" w:rsidR="009040A6">
        <w:rPr>
          <w:lang w:val="en-GB"/>
        </w:rPr>
        <w:t>visibility</w:t>
      </w:r>
      <w:r w:rsidRPr="007C4BAC" w:rsidR="00D02FB3">
        <w:rPr>
          <w:lang w:val="en-GB"/>
        </w:rPr>
        <w:t xml:space="preserve"> and predictability</w:t>
      </w:r>
      <w:r w:rsidRPr="007C4BAC" w:rsidR="003B3CE0">
        <w:rPr>
          <w:lang w:val="en-GB"/>
        </w:rPr>
        <w:t xml:space="preserve">, so that firms can indeed take the risk </w:t>
      </w:r>
      <w:r w:rsidR="00EE4FF6">
        <w:rPr>
          <w:lang w:val="en-GB"/>
        </w:rPr>
        <w:t>inherent in</w:t>
      </w:r>
      <w:r w:rsidRPr="007C4BAC" w:rsidR="00EE4FF6">
        <w:rPr>
          <w:lang w:val="en-GB"/>
        </w:rPr>
        <w:t xml:space="preserve"> </w:t>
      </w:r>
      <w:r w:rsidRPr="007C4BAC" w:rsidR="003B3CE0">
        <w:rPr>
          <w:lang w:val="en-GB"/>
        </w:rPr>
        <w:t>bringing forward mergers that enhance competitiveness and growth</w:t>
      </w:r>
      <w:r w:rsidRPr="007C4BAC" w:rsidR="00D02FB3">
        <w:rPr>
          <w:lang w:val="en-GB"/>
        </w:rPr>
        <w:t xml:space="preserve">. </w:t>
      </w:r>
    </w:p>
    <w:p w:rsidR="00727549" w:rsidP="00727549" w:rsidRDefault="00D02FB3" w14:paraId="0733747D" w14:textId="1099EA58">
      <w:pPr>
        <w:numPr>
          <w:ilvl w:val="0"/>
          <w:numId w:val="0"/>
        </w:numPr>
        <w:ind w:left="284"/>
        <w:rPr>
          <w:lang w:val="en-GB"/>
        </w:rPr>
      </w:pPr>
      <w:r w:rsidRPr="007C4BAC">
        <w:rPr>
          <w:lang w:val="en-GB"/>
        </w:rPr>
        <w:t>Yet, compared to the current guidelines, the Draft Guidelines</w:t>
      </w:r>
      <w:r w:rsidRPr="007C4BAC" w:rsidR="009040A6">
        <w:rPr>
          <w:lang w:val="en-GB"/>
        </w:rPr>
        <w:t xml:space="preserve"> </w:t>
      </w:r>
      <w:r w:rsidR="00240C3F">
        <w:rPr>
          <w:lang w:val="en-GB"/>
        </w:rPr>
        <w:t>introduce</w:t>
      </w:r>
      <w:r w:rsidRPr="007C4BAC" w:rsidR="00240C3F">
        <w:rPr>
          <w:lang w:val="en-GB"/>
        </w:rPr>
        <w:t xml:space="preserve"> </w:t>
      </w:r>
      <w:r w:rsidRPr="007C4BAC" w:rsidR="00C62091">
        <w:rPr>
          <w:lang w:val="en-GB"/>
        </w:rPr>
        <w:t>additional theories of harm</w:t>
      </w:r>
      <w:r w:rsidR="002B3D49">
        <w:rPr>
          <w:lang w:val="en-GB"/>
        </w:rPr>
        <w:t xml:space="preserve"> and</w:t>
      </w:r>
      <w:r w:rsidRPr="007C4BAC" w:rsidR="00C62091">
        <w:rPr>
          <w:lang w:val="en-GB"/>
        </w:rPr>
        <w:t xml:space="preserve"> a wider </w:t>
      </w:r>
      <w:r w:rsidR="00240C3F">
        <w:rPr>
          <w:lang w:val="en-GB"/>
        </w:rPr>
        <w:t>array</w:t>
      </w:r>
      <w:r w:rsidRPr="007C4BAC" w:rsidR="00240C3F">
        <w:rPr>
          <w:lang w:val="en-GB"/>
        </w:rPr>
        <w:t xml:space="preserve"> </w:t>
      </w:r>
      <w:r w:rsidRPr="007C4BAC" w:rsidR="00C62091">
        <w:rPr>
          <w:lang w:val="en-GB"/>
        </w:rPr>
        <w:t xml:space="preserve">of non-price parameters to assess, </w:t>
      </w:r>
      <w:r w:rsidRPr="007C4BAC">
        <w:rPr>
          <w:lang w:val="en-GB"/>
        </w:rPr>
        <w:t xml:space="preserve">while removing </w:t>
      </w:r>
      <w:r w:rsidRPr="007C4BAC" w:rsidR="00C62091">
        <w:rPr>
          <w:lang w:val="en-GB"/>
        </w:rPr>
        <w:t>certain safe harbo</w:t>
      </w:r>
      <w:r w:rsidR="001A18E7">
        <w:rPr>
          <w:lang w:val="en-GB"/>
        </w:rPr>
        <w:t>u</w:t>
      </w:r>
      <w:r w:rsidRPr="007C4BAC" w:rsidR="00C62091">
        <w:rPr>
          <w:lang w:val="en-GB"/>
        </w:rPr>
        <w:t>rs (</w:t>
      </w:r>
      <w:r w:rsidRPr="007C4BAC" w:rsidR="00C62091">
        <w:rPr>
          <w:i/>
          <w:iCs/>
          <w:lang w:val="en-GB"/>
        </w:rPr>
        <w:t>i.e.</w:t>
      </w:r>
      <w:r w:rsidRPr="007C4BAC" w:rsidR="00C62091">
        <w:rPr>
          <w:lang w:val="en-GB"/>
        </w:rPr>
        <w:t>, the 30% market share threshold for non-horizontal mergers)</w:t>
      </w:r>
      <w:r w:rsidRPr="007C4BAC">
        <w:rPr>
          <w:lang w:val="en-GB"/>
        </w:rPr>
        <w:t>. In addition,</w:t>
      </w:r>
      <w:r w:rsidRPr="007C4BAC" w:rsidR="00C62091">
        <w:rPr>
          <w:lang w:val="en-GB"/>
        </w:rPr>
        <w:t xml:space="preserve"> the Commission insist</w:t>
      </w:r>
      <w:r w:rsidRPr="007C4BAC">
        <w:rPr>
          <w:lang w:val="en-GB"/>
        </w:rPr>
        <w:t xml:space="preserve">s </w:t>
      </w:r>
      <w:r w:rsidRPr="007C4BAC" w:rsidR="00C62091">
        <w:rPr>
          <w:lang w:val="en-GB"/>
        </w:rPr>
        <w:t xml:space="preserve">on its </w:t>
      </w:r>
      <w:r w:rsidRPr="007C4BAC" w:rsidR="00567093">
        <w:rPr>
          <w:lang w:val="en-GB"/>
        </w:rPr>
        <w:t xml:space="preserve">margin of </w:t>
      </w:r>
      <w:r w:rsidRPr="007C4BAC" w:rsidR="00C62091">
        <w:rPr>
          <w:lang w:val="en-GB"/>
        </w:rPr>
        <w:t xml:space="preserve">discretion </w:t>
      </w:r>
      <w:r w:rsidRPr="007C4BAC" w:rsidR="00567093">
        <w:rPr>
          <w:lang w:val="en-GB"/>
        </w:rPr>
        <w:t>at various junctures</w:t>
      </w:r>
      <w:r w:rsidRPr="007C4BAC" w:rsidR="00567093">
        <w:rPr>
          <w:rStyle w:val="FootnoteReference"/>
          <w:lang w:val="en-GB"/>
        </w:rPr>
        <w:footnoteReference w:id="5"/>
      </w:r>
      <w:r w:rsidRPr="007C4BAC">
        <w:rPr>
          <w:lang w:val="en-GB"/>
        </w:rPr>
        <w:t xml:space="preserve">. </w:t>
      </w:r>
      <w:r w:rsidRPr="007C4BAC" w:rsidR="005D79F0">
        <w:rPr>
          <w:lang w:val="en-GB"/>
        </w:rPr>
        <w:t>In this context</w:t>
      </w:r>
      <w:r w:rsidRPr="007C4BAC">
        <w:rPr>
          <w:lang w:val="en-GB"/>
        </w:rPr>
        <w:t xml:space="preserve">, the Associations are concerned that the </w:t>
      </w:r>
      <w:r w:rsidR="007D1F8A">
        <w:rPr>
          <w:lang w:val="en-GB"/>
        </w:rPr>
        <w:t xml:space="preserve">current draft </w:t>
      </w:r>
      <w:r w:rsidRPr="007C4BAC" w:rsidR="005D79F0">
        <w:rPr>
          <w:lang w:val="en-GB"/>
        </w:rPr>
        <w:t>c</w:t>
      </w:r>
      <w:r w:rsidRPr="007C4BAC">
        <w:rPr>
          <w:lang w:val="en-GB"/>
        </w:rPr>
        <w:t>ould create additional complexities</w:t>
      </w:r>
      <w:r w:rsidR="00675901">
        <w:rPr>
          <w:lang w:val="en-GB"/>
        </w:rPr>
        <w:t xml:space="preserve"> and reduce </w:t>
      </w:r>
      <w:r w:rsidR="0074244E">
        <w:rPr>
          <w:lang w:val="en-GB"/>
        </w:rPr>
        <w:t>predictability</w:t>
      </w:r>
      <w:r w:rsidRPr="007C4BAC">
        <w:rPr>
          <w:lang w:val="en-GB"/>
        </w:rPr>
        <w:t xml:space="preserve">, </w:t>
      </w:r>
      <w:r w:rsidR="00C85A0A">
        <w:rPr>
          <w:lang w:val="en-GB"/>
        </w:rPr>
        <w:t xml:space="preserve">which could </w:t>
      </w:r>
      <w:r w:rsidRPr="007C4BAC">
        <w:rPr>
          <w:lang w:val="en-GB"/>
        </w:rPr>
        <w:t xml:space="preserve">extend the timeline for review. </w:t>
      </w:r>
    </w:p>
    <w:p w:rsidR="006A54AB" w:rsidP="00727549" w:rsidRDefault="006A54AB" w14:paraId="7EA244D0" w14:textId="0CEF3274">
      <w:pPr>
        <w:numPr>
          <w:ilvl w:val="0"/>
          <w:numId w:val="0"/>
        </w:numPr>
        <w:ind w:left="284"/>
        <w:rPr>
          <w:lang w:val="en-GB"/>
        </w:rPr>
      </w:pPr>
      <w:r>
        <w:rPr>
          <w:lang w:val="en-GB"/>
        </w:rPr>
        <w:t>Furthermore, in an increasingly fragmented regulatory landscape, transactions are frequently subject to parallel, multi-layered filings, including FDI at the Member State level and FSR. It is vital that the final Merger Guidelines preserve a clear and strictly competition-based “one-stop-shop” framework. The Commission’s assessment should not introduce overlapping or shifting standards that prejudice or further complicate the necessary coordination with these distinct national and EU-level control regimes.</w:t>
      </w:r>
    </w:p>
    <w:p w:rsidRPr="007C4BAC" w:rsidR="00D02FB3" w:rsidP="00D02FB3" w:rsidRDefault="006A54AB" w14:paraId="7790D542" w14:textId="6A39A0BB">
      <w:pPr>
        <w:numPr>
          <w:ilvl w:val="0"/>
          <w:numId w:val="0"/>
        </w:numPr>
        <w:ind w:left="284"/>
        <w:rPr>
          <w:lang w:val="en-GB"/>
        </w:rPr>
      </w:pPr>
      <w:r>
        <w:rPr>
          <w:lang w:val="en-GB"/>
        </w:rPr>
        <w:t>To mitigate this, the Commission</w:t>
      </w:r>
      <w:r w:rsidRPr="007C4BAC" w:rsidR="00D02FB3">
        <w:rPr>
          <w:lang w:val="en-GB"/>
        </w:rPr>
        <w:t xml:space="preserve"> </w:t>
      </w:r>
      <w:r>
        <w:rPr>
          <w:lang w:val="en-GB"/>
        </w:rPr>
        <w:t>sh</w:t>
      </w:r>
      <w:r w:rsidRPr="007C4BAC">
        <w:rPr>
          <w:lang w:val="en-GB"/>
        </w:rPr>
        <w:t xml:space="preserve">ould </w:t>
      </w:r>
      <w:r w:rsidRPr="007C4BAC" w:rsidR="00D02FB3">
        <w:rPr>
          <w:lang w:val="en-GB"/>
        </w:rPr>
        <w:t>provide clearer</w:t>
      </w:r>
      <w:r>
        <w:rPr>
          <w:lang w:val="en-GB"/>
        </w:rPr>
        <w:t>, objective</w:t>
      </w:r>
      <w:r w:rsidRPr="007C4BAC" w:rsidR="00D02FB3">
        <w:rPr>
          <w:lang w:val="en-GB"/>
        </w:rPr>
        <w:t xml:space="preserve"> safe harbours</w:t>
      </w:r>
      <w:r w:rsidRPr="007C4BAC" w:rsidR="007C4BAC">
        <w:rPr>
          <w:lang w:val="en-GB"/>
        </w:rPr>
        <w:t xml:space="preserve"> (for </w:t>
      </w:r>
      <w:r w:rsidR="00A61A9C">
        <w:rPr>
          <w:lang w:val="en-GB"/>
        </w:rPr>
        <w:t>each</w:t>
      </w:r>
      <w:r w:rsidRPr="007C4BAC" w:rsidR="007C4BAC">
        <w:rPr>
          <w:lang w:val="en-GB"/>
        </w:rPr>
        <w:t xml:space="preserve"> type of mergers)</w:t>
      </w:r>
      <w:r w:rsidRPr="007C4BAC" w:rsidR="00D02FB3">
        <w:rPr>
          <w:lang w:val="en-GB"/>
        </w:rPr>
        <w:t xml:space="preserve"> and </w:t>
      </w:r>
      <w:r w:rsidR="004E6B44">
        <w:rPr>
          <w:lang w:val="en-GB"/>
        </w:rPr>
        <w:t xml:space="preserve">outline a structured </w:t>
      </w:r>
      <w:r w:rsidR="001D5D85">
        <w:rPr>
          <w:lang w:val="en-GB"/>
        </w:rPr>
        <w:t xml:space="preserve">sequence </w:t>
      </w:r>
      <w:r w:rsidR="004E6B44">
        <w:rPr>
          <w:lang w:val="en-GB"/>
        </w:rPr>
        <w:t xml:space="preserve">for </w:t>
      </w:r>
      <w:r w:rsidRPr="007C4BAC" w:rsidR="00D02FB3">
        <w:rPr>
          <w:lang w:val="en-GB"/>
        </w:rPr>
        <w:t>assess</w:t>
      </w:r>
      <w:r w:rsidR="004E6B44">
        <w:rPr>
          <w:lang w:val="en-GB"/>
        </w:rPr>
        <w:t>ing</w:t>
      </w:r>
      <w:r w:rsidRPr="007C4BAC" w:rsidR="00D02FB3">
        <w:rPr>
          <w:lang w:val="en-GB"/>
        </w:rPr>
        <w:t xml:space="preserve"> </w:t>
      </w:r>
      <w:r w:rsidR="004718E1">
        <w:rPr>
          <w:lang w:val="en-GB"/>
        </w:rPr>
        <w:t>the various</w:t>
      </w:r>
      <w:r w:rsidRPr="007C4BAC" w:rsidR="004718E1">
        <w:rPr>
          <w:lang w:val="en-GB"/>
        </w:rPr>
        <w:t xml:space="preserve"> </w:t>
      </w:r>
      <w:r w:rsidRPr="007C4BAC" w:rsidR="00D02FB3">
        <w:rPr>
          <w:lang w:val="en-GB"/>
        </w:rPr>
        <w:t>theor</w:t>
      </w:r>
      <w:r w:rsidR="00835651">
        <w:rPr>
          <w:lang w:val="en-GB"/>
        </w:rPr>
        <w:t>ies</w:t>
      </w:r>
      <w:r w:rsidRPr="007C4BAC" w:rsidR="00D02FB3">
        <w:rPr>
          <w:lang w:val="en-GB"/>
        </w:rPr>
        <w:t xml:space="preserve"> of harm and parameter</w:t>
      </w:r>
      <w:r w:rsidR="004718E1">
        <w:rPr>
          <w:lang w:val="en-GB"/>
        </w:rPr>
        <w:t>s</w:t>
      </w:r>
      <w:r w:rsidRPr="007C4BAC" w:rsidR="00D02FB3">
        <w:rPr>
          <w:lang w:val="en-GB"/>
        </w:rPr>
        <w:t xml:space="preserve"> of competition</w:t>
      </w:r>
      <w:r w:rsidRPr="007C4BAC" w:rsidR="00B83B24">
        <w:rPr>
          <w:lang w:val="en-GB"/>
        </w:rPr>
        <w:t xml:space="preserve">. </w:t>
      </w:r>
      <w:r w:rsidR="00246771">
        <w:rPr>
          <w:lang w:val="en-GB"/>
        </w:rPr>
        <w:t>Crucially</w:t>
      </w:r>
      <w:r w:rsidRPr="007C4BAC" w:rsidR="00B83B24">
        <w:rPr>
          <w:lang w:val="en-GB"/>
        </w:rPr>
        <w:t>,</w:t>
      </w:r>
      <w:r w:rsidRPr="007C4BAC" w:rsidR="003B3CE0">
        <w:rPr>
          <w:lang w:val="en-GB"/>
        </w:rPr>
        <w:t xml:space="preserve"> </w:t>
      </w:r>
      <w:r w:rsidRPr="007C4BAC" w:rsidR="005D79F0">
        <w:rPr>
          <w:lang w:val="en-GB"/>
        </w:rPr>
        <w:t>the Commission should avoid overlapping or cumulative theories of harm</w:t>
      </w:r>
      <w:r w:rsidR="00884E1A">
        <w:rPr>
          <w:lang w:val="en-GB"/>
        </w:rPr>
        <w:t xml:space="preserve"> and</w:t>
      </w:r>
      <w:r w:rsidR="00B834EC">
        <w:rPr>
          <w:lang w:val="en-GB"/>
        </w:rPr>
        <w:t xml:space="preserve"> ensur</w:t>
      </w:r>
      <w:r w:rsidR="00884E1A">
        <w:rPr>
          <w:lang w:val="en-GB"/>
        </w:rPr>
        <w:t>e</w:t>
      </w:r>
      <w:r w:rsidR="00B834EC">
        <w:rPr>
          <w:lang w:val="en-GB"/>
        </w:rPr>
        <w:t xml:space="preserve"> that any intervention</w:t>
      </w:r>
      <w:r w:rsidR="00757778">
        <w:rPr>
          <w:lang w:val="en-GB"/>
        </w:rPr>
        <w:t xml:space="preserve"> </w:t>
      </w:r>
      <w:r w:rsidRPr="007C4BAC" w:rsidR="007C4BAC">
        <w:rPr>
          <w:lang w:val="en-GB"/>
        </w:rPr>
        <w:t>in complex matters</w:t>
      </w:r>
      <w:r w:rsidR="00757778">
        <w:rPr>
          <w:lang w:val="en-GB"/>
        </w:rPr>
        <w:t xml:space="preserve"> relies on robust</w:t>
      </w:r>
      <w:r w:rsidRPr="007C4BAC" w:rsidR="007C4BAC">
        <w:rPr>
          <w:lang w:val="en-GB"/>
        </w:rPr>
        <w:t xml:space="preserve"> </w:t>
      </w:r>
      <w:r w:rsidRPr="007C4BAC" w:rsidR="00B83B24">
        <w:rPr>
          <w:lang w:val="en-GB"/>
        </w:rPr>
        <w:t xml:space="preserve">market-specific evidence </w:t>
      </w:r>
      <w:r w:rsidR="00884E1A">
        <w:rPr>
          <w:lang w:val="en-GB"/>
        </w:rPr>
        <w:t xml:space="preserve">of </w:t>
      </w:r>
      <w:r w:rsidRPr="007C4BAC" w:rsidR="00884E1A">
        <w:rPr>
          <w:lang w:val="en-GB"/>
        </w:rPr>
        <w:t>clearly identified competitive concerns</w:t>
      </w:r>
      <w:r w:rsidR="00884E1A">
        <w:rPr>
          <w:lang w:val="en-GB"/>
        </w:rPr>
        <w:t>,</w:t>
      </w:r>
      <w:r w:rsidRPr="007C4BAC" w:rsidR="00884E1A">
        <w:rPr>
          <w:lang w:val="en-GB"/>
        </w:rPr>
        <w:t xml:space="preserve"> </w:t>
      </w:r>
      <w:r w:rsidR="00F263D4">
        <w:rPr>
          <w:lang w:val="en-GB"/>
        </w:rPr>
        <w:t xml:space="preserve">rather than </w:t>
      </w:r>
      <w:r w:rsidR="00C136F7">
        <w:rPr>
          <w:lang w:val="en-GB"/>
        </w:rPr>
        <w:t>purely structural or speculative indicators</w:t>
      </w:r>
      <w:r w:rsidRPr="007C4BAC" w:rsidR="007C4BAC">
        <w:rPr>
          <w:lang w:val="en-GB"/>
        </w:rPr>
        <w:t xml:space="preserve">. </w:t>
      </w:r>
    </w:p>
    <w:p w:rsidRPr="007C4BAC" w:rsidR="005D79F0" w:rsidP="00C62091" w:rsidRDefault="007C4BAC" w14:paraId="60876615" w14:textId="3FD81521">
      <w:pPr>
        <w:tabs>
          <w:tab w:val="num" w:pos="720"/>
        </w:tabs>
        <w:ind w:left="284" w:hanging="568"/>
        <w:rPr>
          <w:lang w:val="en-GB"/>
        </w:rPr>
      </w:pPr>
      <w:r w:rsidRPr="007C4BAC">
        <w:rPr>
          <w:b/>
          <w:bCs/>
          <w:lang w:val="en-GB"/>
        </w:rPr>
        <w:t xml:space="preserve">The European Commission should </w:t>
      </w:r>
      <w:r w:rsidR="001A18E7">
        <w:rPr>
          <w:b/>
          <w:bCs/>
          <w:lang w:val="en-GB"/>
        </w:rPr>
        <w:t xml:space="preserve">pragmatically assess </w:t>
      </w:r>
      <w:r>
        <w:rPr>
          <w:b/>
          <w:bCs/>
          <w:lang w:val="en-GB"/>
        </w:rPr>
        <w:t xml:space="preserve">efficiencies </w:t>
      </w:r>
      <w:r w:rsidR="000C16E9">
        <w:rPr>
          <w:b/>
          <w:bCs/>
          <w:lang w:val="en-GB"/>
        </w:rPr>
        <w:t xml:space="preserve">to </w:t>
      </w:r>
      <w:r>
        <w:rPr>
          <w:b/>
          <w:bCs/>
          <w:lang w:val="en-GB"/>
        </w:rPr>
        <w:t>effectively</w:t>
      </w:r>
      <w:r w:rsidR="000C16E9">
        <w:rPr>
          <w:b/>
          <w:bCs/>
          <w:lang w:val="en-GB"/>
        </w:rPr>
        <w:t xml:space="preserve"> </w:t>
      </w:r>
      <w:r w:rsidR="00E03559">
        <w:rPr>
          <w:b/>
          <w:bCs/>
          <w:lang w:val="en-GB"/>
        </w:rPr>
        <w:t>improve</w:t>
      </w:r>
      <w:r w:rsidR="000C16E9">
        <w:rPr>
          <w:b/>
          <w:bCs/>
          <w:lang w:val="en-GB"/>
        </w:rPr>
        <w:t xml:space="preserve"> </w:t>
      </w:r>
      <w:r w:rsidR="00C457A2">
        <w:rPr>
          <w:b/>
          <w:bCs/>
          <w:lang w:val="en-GB"/>
        </w:rPr>
        <w:t xml:space="preserve">enforcement </w:t>
      </w:r>
      <w:r w:rsidR="000C16E9">
        <w:rPr>
          <w:b/>
          <w:bCs/>
          <w:lang w:val="en-GB"/>
        </w:rPr>
        <w:t>outcomes</w:t>
      </w:r>
      <w:r w:rsidRPr="000C16E9" w:rsidR="000C16E9">
        <w:rPr>
          <w:lang w:val="en-GB"/>
        </w:rPr>
        <w:t>.</w:t>
      </w:r>
      <w:r w:rsidRPr="007C4BAC" w:rsidR="00D02FB3">
        <w:rPr>
          <w:lang w:val="en-GB"/>
        </w:rPr>
        <w:t xml:space="preserve"> </w:t>
      </w:r>
      <w:r w:rsidR="000C16E9">
        <w:rPr>
          <w:lang w:val="en-GB"/>
        </w:rPr>
        <w:t>T</w:t>
      </w:r>
      <w:r w:rsidRPr="007C4BAC" w:rsidR="00C62091">
        <w:rPr>
          <w:lang w:val="en-GB"/>
        </w:rPr>
        <w:t xml:space="preserve">he </w:t>
      </w:r>
      <w:r w:rsidRPr="007C4BAC" w:rsidR="005D79F0">
        <w:rPr>
          <w:lang w:val="en-GB"/>
        </w:rPr>
        <w:t>European Commission has rightly recogni</w:t>
      </w:r>
      <w:r w:rsidR="001A18E7">
        <w:rPr>
          <w:lang w:val="en-GB"/>
        </w:rPr>
        <w:t>s</w:t>
      </w:r>
      <w:r w:rsidRPr="007C4BAC" w:rsidR="005D79F0">
        <w:rPr>
          <w:lang w:val="en-GB"/>
        </w:rPr>
        <w:t xml:space="preserve">ed the need to </w:t>
      </w:r>
      <w:r w:rsidRPr="007C4BAC">
        <w:rPr>
          <w:lang w:val="en-GB"/>
        </w:rPr>
        <w:t>moderni</w:t>
      </w:r>
      <w:r>
        <w:rPr>
          <w:lang w:val="en-GB"/>
        </w:rPr>
        <w:t>s</w:t>
      </w:r>
      <w:r w:rsidRPr="007C4BAC">
        <w:rPr>
          <w:lang w:val="en-GB"/>
        </w:rPr>
        <w:t>e its</w:t>
      </w:r>
      <w:r w:rsidRPr="007C4BAC" w:rsidR="005D79F0">
        <w:rPr>
          <w:lang w:val="en-GB"/>
        </w:rPr>
        <w:t xml:space="preserve"> approach to efficiencies. Its </w:t>
      </w:r>
      <w:r w:rsidRPr="007C4BAC" w:rsidR="00C62091">
        <w:rPr>
          <w:lang w:val="en-GB"/>
        </w:rPr>
        <w:t xml:space="preserve">new and dynamic </w:t>
      </w:r>
      <w:r>
        <w:rPr>
          <w:lang w:val="en-GB"/>
        </w:rPr>
        <w:t>assessment</w:t>
      </w:r>
      <w:r w:rsidRPr="007C4BAC" w:rsidR="00C62091">
        <w:rPr>
          <w:lang w:val="en-GB"/>
        </w:rPr>
        <w:t xml:space="preserve"> is </w:t>
      </w:r>
      <w:r w:rsidR="001A18E7">
        <w:rPr>
          <w:lang w:val="en-GB"/>
        </w:rPr>
        <w:t>most</w:t>
      </w:r>
      <w:r w:rsidRPr="007C4BAC" w:rsidR="00C62091">
        <w:rPr>
          <w:lang w:val="en-GB"/>
        </w:rPr>
        <w:t xml:space="preserve"> welcome</w:t>
      </w:r>
      <w:r w:rsidRPr="007C4BAC" w:rsidR="005D79F0">
        <w:rPr>
          <w:lang w:val="en-GB"/>
        </w:rPr>
        <w:t xml:space="preserve">, as it </w:t>
      </w:r>
      <w:proofErr w:type="gramStart"/>
      <w:r w:rsidR="001A18E7">
        <w:rPr>
          <w:lang w:val="en-GB"/>
        </w:rPr>
        <w:t>takes into account</w:t>
      </w:r>
      <w:proofErr w:type="gramEnd"/>
      <w:r w:rsidRPr="007C4BAC" w:rsidR="005D79F0">
        <w:rPr>
          <w:lang w:val="en-GB"/>
        </w:rPr>
        <w:t xml:space="preserve"> a broader range of efficiencies that can materiali</w:t>
      </w:r>
      <w:r w:rsidR="001A18E7">
        <w:rPr>
          <w:lang w:val="en-GB"/>
        </w:rPr>
        <w:t>s</w:t>
      </w:r>
      <w:r w:rsidRPr="007C4BAC" w:rsidR="005D79F0">
        <w:rPr>
          <w:lang w:val="en-GB"/>
        </w:rPr>
        <w:t>e on a longer timeframe, without being constrained by narrow market definitions</w:t>
      </w:r>
      <w:r w:rsidRPr="007C4BAC" w:rsidR="00C62091">
        <w:rPr>
          <w:lang w:val="en-GB"/>
        </w:rPr>
        <w:t xml:space="preserve">. </w:t>
      </w:r>
    </w:p>
    <w:p w:rsidRPr="007C4BAC" w:rsidR="005D79F0" w:rsidP="005D79F0" w:rsidRDefault="0009001B" w14:paraId="59AB7329" w14:textId="74648D82">
      <w:pPr>
        <w:numPr>
          <w:ilvl w:val="0"/>
          <w:numId w:val="0"/>
        </w:numPr>
        <w:ind w:left="284"/>
        <w:rPr>
          <w:lang w:val="en-GB"/>
        </w:rPr>
      </w:pPr>
      <w:r>
        <w:rPr>
          <w:lang w:val="en-GB"/>
        </w:rPr>
        <w:t xml:space="preserve">Because </w:t>
      </w:r>
      <w:r w:rsidRPr="007C4BAC" w:rsidR="005D79F0">
        <w:rPr>
          <w:lang w:val="en-GB"/>
        </w:rPr>
        <w:t xml:space="preserve">experience in assessing </w:t>
      </w:r>
      <w:r w:rsidR="000C16E9">
        <w:rPr>
          <w:lang w:val="en-GB"/>
        </w:rPr>
        <w:t>dynamic or out</w:t>
      </w:r>
      <w:r w:rsidR="001A18E7">
        <w:rPr>
          <w:lang w:val="en-GB"/>
        </w:rPr>
        <w:t>-</w:t>
      </w:r>
      <w:r w:rsidR="000C16E9">
        <w:rPr>
          <w:lang w:val="en-GB"/>
        </w:rPr>
        <w:t>of</w:t>
      </w:r>
      <w:r w:rsidR="001A18E7">
        <w:rPr>
          <w:lang w:val="en-GB"/>
        </w:rPr>
        <w:t>-</w:t>
      </w:r>
      <w:r w:rsidR="000C16E9">
        <w:rPr>
          <w:lang w:val="en-GB"/>
        </w:rPr>
        <w:t xml:space="preserve">market </w:t>
      </w:r>
      <w:r w:rsidRPr="007C4BAC" w:rsidR="000D72B4">
        <w:rPr>
          <w:lang w:val="en-GB"/>
        </w:rPr>
        <w:t>efficiencies</w:t>
      </w:r>
      <w:r w:rsidR="00EE430B">
        <w:rPr>
          <w:lang w:val="en-GB"/>
        </w:rPr>
        <w:t xml:space="preserve"> </w:t>
      </w:r>
      <w:r w:rsidRPr="007C4BAC" w:rsidR="005D79F0">
        <w:rPr>
          <w:lang w:val="en-GB"/>
        </w:rPr>
        <w:t>in the context of merger control proceedings</w:t>
      </w:r>
      <w:r w:rsidR="00EE430B">
        <w:rPr>
          <w:lang w:val="en-GB"/>
        </w:rPr>
        <w:t xml:space="preserve"> remain limited, </w:t>
      </w:r>
      <w:r w:rsidRPr="007C4BAC" w:rsidR="000D72B4">
        <w:rPr>
          <w:lang w:val="en-GB"/>
        </w:rPr>
        <w:t>the Associations would support the Commission adopting a flexible approach</w:t>
      </w:r>
      <w:r w:rsidRPr="007C4BAC" w:rsidR="00A9639E">
        <w:rPr>
          <w:lang w:val="en-GB"/>
        </w:rPr>
        <w:t xml:space="preserve">, giving itself time to incorporate practical insights into its methodology. </w:t>
      </w:r>
    </w:p>
    <w:p w:rsidR="00CC6D16" w:rsidP="00CC6D16" w:rsidRDefault="000E7135" w14:paraId="61B09BD2" w14:textId="7174BC0C">
      <w:pPr>
        <w:numPr>
          <w:ilvl w:val="0"/>
          <w:numId w:val="0"/>
        </w:numPr>
        <w:ind w:left="284"/>
        <w:rPr>
          <w:lang w:val="en-GB"/>
        </w:rPr>
      </w:pPr>
      <w:r>
        <w:rPr>
          <w:lang w:val="en-GB"/>
        </w:rPr>
        <w:lastRenderedPageBreak/>
        <w:t>However</w:t>
      </w:r>
      <w:r w:rsidRPr="007C4BAC" w:rsidR="00A9639E">
        <w:rPr>
          <w:lang w:val="en-GB"/>
        </w:rPr>
        <w:t xml:space="preserve">, </w:t>
      </w:r>
      <w:r w:rsidRPr="007C4BAC" w:rsidR="00C62091">
        <w:rPr>
          <w:lang w:val="en-GB"/>
        </w:rPr>
        <w:t xml:space="preserve">the </w:t>
      </w:r>
      <w:r w:rsidR="000C16E9">
        <w:rPr>
          <w:lang w:val="en-GB"/>
        </w:rPr>
        <w:t xml:space="preserve">European </w:t>
      </w:r>
      <w:r w:rsidRPr="007C4BAC" w:rsidR="00C62091">
        <w:rPr>
          <w:lang w:val="en-GB"/>
        </w:rPr>
        <w:t xml:space="preserve">Commission </w:t>
      </w:r>
      <w:r w:rsidRPr="007C4BAC" w:rsidR="00F85116">
        <w:rPr>
          <w:lang w:val="en-GB"/>
        </w:rPr>
        <w:t xml:space="preserve">should ensure that the </w:t>
      </w:r>
      <w:r w:rsidR="00F85FF4">
        <w:rPr>
          <w:lang w:val="en-GB"/>
        </w:rPr>
        <w:t xml:space="preserve">final version of the </w:t>
      </w:r>
      <w:r w:rsidRPr="007C4BAC" w:rsidR="00F85116">
        <w:rPr>
          <w:lang w:val="en-GB"/>
        </w:rPr>
        <w:t xml:space="preserve">Merger Guidelines – and their practical application – do not make it practically impossible to credibly substantiate and quantify efficiencies. </w:t>
      </w:r>
      <w:r w:rsidRPr="00A54D4E" w:rsidR="005A349B">
        <w:rPr>
          <w:lang w:val="en-US"/>
        </w:rPr>
        <w:t xml:space="preserve">Currently, several elements </w:t>
      </w:r>
      <w:r w:rsidR="001A18E7">
        <w:rPr>
          <w:lang w:val="en-GB"/>
        </w:rPr>
        <w:t xml:space="preserve">in the Draft Merger Guidelines suggest </w:t>
      </w:r>
      <w:r w:rsidR="00EC1120">
        <w:rPr>
          <w:lang w:val="en-GB"/>
        </w:rPr>
        <w:t xml:space="preserve">an asymmetrical and excessively </w:t>
      </w:r>
      <w:r w:rsidR="001A18E7">
        <w:rPr>
          <w:lang w:val="en-GB"/>
        </w:rPr>
        <w:t>high burden of proof</w:t>
      </w:r>
      <w:r w:rsidR="00EC1120">
        <w:rPr>
          <w:lang w:val="en-GB"/>
        </w:rPr>
        <w:t xml:space="preserve"> on the parties</w:t>
      </w:r>
      <w:r w:rsidR="001A18E7">
        <w:rPr>
          <w:lang w:val="en-GB"/>
        </w:rPr>
        <w:t xml:space="preserve">. </w:t>
      </w:r>
    </w:p>
    <w:p w:rsidRPr="007C4BAC" w:rsidR="007015EB" w:rsidP="00CC6D16" w:rsidRDefault="007C4BAC" w14:paraId="7398EDA0" w14:textId="2923E90F">
      <w:pPr>
        <w:numPr>
          <w:ilvl w:val="0"/>
          <w:numId w:val="0"/>
        </w:numPr>
        <w:ind w:left="284"/>
        <w:rPr>
          <w:lang w:val="en-GB"/>
        </w:rPr>
      </w:pPr>
      <w:r>
        <w:rPr>
          <w:lang w:val="en-GB"/>
        </w:rPr>
        <w:t>By way of example</w:t>
      </w:r>
      <w:r w:rsidR="000C16E9">
        <w:rPr>
          <w:lang w:val="en-GB"/>
        </w:rPr>
        <w:t>s</w:t>
      </w:r>
      <w:r w:rsidRPr="007C4BAC" w:rsidR="007015EB">
        <w:rPr>
          <w:lang w:val="en-GB"/>
        </w:rPr>
        <w:t>:</w:t>
      </w:r>
      <w:r w:rsidRPr="007C4BAC" w:rsidR="00F85116">
        <w:rPr>
          <w:lang w:val="en-GB"/>
        </w:rPr>
        <w:t xml:space="preserve"> </w:t>
      </w:r>
    </w:p>
    <w:p w:rsidRPr="007C4BAC" w:rsidR="007015EB" w:rsidP="00CC6D16" w:rsidRDefault="007015EB" w14:paraId="308ACC24" w14:textId="4E64611A">
      <w:pPr>
        <w:pStyle w:val="ListParagraph"/>
        <w:numPr>
          <w:ilvl w:val="0"/>
          <w:numId w:val="7"/>
        </w:numPr>
        <w:contextualSpacing w:val="0"/>
        <w:rPr>
          <w:lang w:val="en-GB"/>
        </w:rPr>
      </w:pPr>
      <w:r w:rsidRPr="007C4BAC">
        <w:rPr>
          <w:lang w:val="en-GB"/>
        </w:rPr>
        <w:t>the requirement that efficiencies are “</w:t>
      </w:r>
      <w:r w:rsidRPr="007C4BAC">
        <w:rPr>
          <w:i/>
          <w:iCs/>
          <w:lang w:val="en-GB"/>
        </w:rPr>
        <w:t>likely to materiali</w:t>
      </w:r>
      <w:r w:rsidR="009F3ED8">
        <w:rPr>
          <w:i/>
          <w:iCs/>
          <w:lang w:val="en-GB"/>
        </w:rPr>
        <w:t>s</w:t>
      </w:r>
      <w:r w:rsidRPr="007C4BAC">
        <w:rPr>
          <w:i/>
          <w:iCs/>
          <w:lang w:val="en-GB"/>
        </w:rPr>
        <w:t>e</w:t>
      </w:r>
      <w:r w:rsidRPr="007C4BAC">
        <w:rPr>
          <w:lang w:val="en-GB"/>
        </w:rPr>
        <w:t>” could suggest a</w:t>
      </w:r>
      <w:r w:rsidRPr="007C4BAC" w:rsidR="00C62091">
        <w:rPr>
          <w:lang w:val="en-GB"/>
        </w:rPr>
        <w:t xml:space="preserve"> </w:t>
      </w:r>
      <w:r w:rsidRPr="007C4BAC">
        <w:rPr>
          <w:lang w:val="en-GB"/>
        </w:rPr>
        <w:t>stricter approach than the “</w:t>
      </w:r>
      <w:r w:rsidRPr="007C4BAC">
        <w:rPr>
          <w:i/>
          <w:iCs/>
          <w:lang w:val="en-GB"/>
        </w:rPr>
        <w:t>more likely than not</w:t>
      </w:r>
      <w:r w:rsidRPr="007C4BAC">
        <w:rPr>
          <w:lang w:val="en-GB"/>
        </w:rPr>
        <w:t>” standard to evidence a theory of harm;</w:t>
      </w:r>
    </w:p>
    <w:p w:rsidR="009E007B" w:rsidP="00CC6D16" w:rsidRDefault="007015EB" w14:paraId="21A17648" w14:textId="5134AC96">
      <w:pPr>
        <w:pStyle w:val="ListParagraph"/>
        <w:numPr>
          <w:ilvl w:val="0"/>
          <w:numId w:val="7"/>
        </w:numPr>
        <w:contextualSpacing w:val="0"/>
        <w:rPr>
          <w:lang w:val="en-GB"/>
        </w:rPr>
      </w:pPr>
      <w:r w:rsidRPr="007C4BAC">
        <w:rPr>
          <w:lang w:val="en-GB"/>
        </w:rPr>
        <w:t>the Commission seems to accept that efficiencies could materiali</w:t>
      </w:r>
      <w:r w:rsidR="00766EED">
        <w:rPr>
          <w:lang w:val="en-GB"/>
        </w:rPr>
        <w:t>s</w:t>
      </w:r>
      <w:r w:rsidRPr="007C4BAC">
        <w:rPr>
          <w:lang w:val="en-GB"/>
        </w:rPr>
        <w:t xml:space="preserve">e on a longer timeline, whilst at the same time requiring that efficiencies </w:t>
      </w:r>
      <w:r w:rsidRPr="007C4BAC" w:rsidR="00F26DAE">
        <w:rPr>
          <w:lang w:val="en-GB"/>
        </w:rPr>
        <w:t>materialise</w:t>
      </w:r>
      <w:r w:rsidRPr="007C4BAC">
        <w:rPr>
          <w:lang w:val="en-GB"/>
        </w:rPr>
        <w:t xml:space="preserve"> “</w:t>
      </w:r>
      <w:r w:rsidRPr="00E03559">
        <w:rPr>
          <w:i/>
          <w:iCs/>
          <w:lang w:val="en-GB"/>
        </w:rPr>
        <w:t>without delay</w:t>
      </w:r>
      <w:r w:rsidRPr="007C4BAC">
        <w:rPr>
          <w:lang w:val="en-GB"/>
        </w:rPr>
        <w:t>” or “</w:t>
      </w:r>
      <w:r w:rsidRPr="007C4BAC">
        <w:rPr>
          <w:i/>
          <w:iCs/>
          <w:lang w:val="en-GB"/>
        </w:rPr>
        <w:t>shortly after closing</w:t>
      </w:r>
      <w:r w:rsidRPr="007C4BAC">
        <w:rPr>
          <w:lang w:val="en-GB"/>
        </w:rPr>
        <w:t>”</w:t>
      </w:r>
      <w:r w:rsidR="009F3ED8">
        <w:rPr>
          <w:lang w:val="en-GB"/>
        </w:rPr>
        <w:t>;</w:t>
      </w:r>
    </w:p>
    <w:p w:rsidRPr="007C4BAC" w:rsidR="00C62091" w:rsidP="007015EB" w:rsidRDefault="009F3ED8" w14:paraId="4961D714" w14:textId="3227F73D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i</w:t>
      </w:r>
      <w:r w:rsidR="00AD61CF">
        <w:rPr>
          <w:lang w:val="en-GB"/>
        </w:rPr>
        <w:t>t is also</w:t>
      </w:r>
      <w:r w:rsidR="00116E3A">
        <w:rPr>
          <w:lang w:val="en-GB"/>
        </w:rPr>
        <w:t xml:space="preserve"> somewhat </w:t>
      </w:r>
      <w:r w:rsidR="00AD61CF">
        <w:rPr>
          <w:lang w:val="en-GB"/>
        </w:rPr>
        <w:t xml:space="preserve">unclear to what extent the </w:t>
      </w:r>
      <w:r w:rsidR="00DD1DD9">
        <w:rPr>
          <w:lang w:val="en-GB"/>
        </w:rPr>
        <w:t xml:space="preserve">different </w:t>
      </w:r>
      <w:r w:rsidR="00145EE7">
        <w:rPr>
          <w:lang w:val="en-GB"/>
        </w:rPr>
        <w:t xml:space="preserve">types of efficiencies </w:t>
      </w:r>
      <w:r w:rsidR="005620A3">
        <w:rPr>
          <w:lang w:val="en-GB"/>
        </w:rPr>
        <w:t xml:space="preserve">of merging parties </w:t>
      </w:r>
      <w:r w:rsidR="00116E3A">
        <w:rPr>
          <w:lang w:val="en-GB"/>
        </w:rPr>
        <w:t xml:space="preserve">would have to benefit </w:t>
      </w:r>
      <w:r w:rsidR="005620A3">
        <w:rPr>
          <w:lang w:val="en-GB"/>
        </w:rPr>
        <w:t xml:space="preserve">other stakeholders and how this shall be </w:t>
      </w:r>
      <w:r w:rsidR="00104F64">
        <w:rPr>
          <w:lang w:val="en-GB"/>
        </w:rPr>
        <w:t xml:space="preserve">assessed and </w:t>
      </w:r>
      <w:r w:rsidR="005620A3">
        <w:rPr>
          <w:lang w:val="en-GB"/>
        </w:rPr>
        <w:t>established in evidence.</w:t>
      </w:r>
    </w:p>
    <w:p w:rsidR="007C4BAC" w:rsidP="000C16E9" w:rsidRDefault="001A18E7" w14:paraId="663E2858" w14:textId="161E6219">
      <w:pPr>
        <w:numPr>
          <w:ilvl w:val="0"/>
          <w:numId w:val="0"/>
        </w:numPr>
        <w:ind w:left="284"/>
        <w:rPr>
          <w:lang w:val="en-GB"/>
        </w:rPr>
      </w:pPr>
      <w:r>
        <w:rPr>
          <w:lang w:val="en-GB"/>
        </w:rPr>
        <w:t xml:space="preserve">The Associations would recommend </w:t>
      </w:r>
      <w:r w:rsidR="00AA3039">
        <w:rPr>
          <w:lang w:val="en-GB"/>
        </w:rPr>
        <w:t xml:space="preserve">refining these provisions to offer realistic evidentiary </w:t>
      </w:r>
      <w:r w:rsidR="00ED7F3A">
        <w:rPr>
          <w:lang w:val="en-GB"/>
        </w:rPr>
        <w:t xml:space="preserve">and </w:t>
      </w:r>
      <w:r w:rsidR="00E3133E">
        <w:rPr>
          <w:lang w:val="en-GB"/>
        </w:rPr>
        <w:t xml:space="preserve">procedural </w:t>
      </w:r>
      <w:r w:rsidR="00F82C6D">
        <w:rPr>
          <w:lang w:val="en-GB"/>
        </w:rPr>
        <w:t xml:space="preserve">pathways, ensuring that </w:t>
      </w:r>
      <w:r w:rsidR="00676A7A">
        <w:rPr>
          <w:lang w:val="en-GB"/>
        </w:rPr>
        <w:t xml:space="preserve">the </w:t>
      </w:r>
      <w:r>
        <w:rPr>
          <w:lang w:val="en-GB"/>
        </w:rPr>
        <w:t xml:space="preserve">modernisation </w:t>
      </w:r>
      <w:r w:rsidR="00C24907">
        <w:rPr>
          <w:lang w:val="en-GB"/>
        </w:rPr>
        <w:t>of the efficiency defence becomes a practical reality rather than a theoretical possibility</w:t>
      </w:r>
      <w:r>
        <w:rPr>
          <w:lang w:val="en-GB"/>
        </w:rPr>
        <w:t xml:space="preserve">. </w:t>
      </w:r>
    </w:p>
    <w:p w:rsidRPr="007C4BAC" w:rsidR="00E03559" w:rsidP="00E03559" w:rsidRDefault="00E03559" w14:paraId="7640454B" w14:textId="77777777">
      <w:pPr>
        <w:numPr>
          <w:ilvl w:val="0"/>
          <w:numId w:val="0"/>
        </w:numPr>
        <w:spacing w:after="0"/>
        <w:ind w:left="284"/>
        <w:rPr>
          <w:lang w:val="en-GB"/>
        </w:rPr>
      </w:pPr>
    </w:p>
    <w:p w:rsidR="00C62091" w:rsidP="009C7203" w:rsidRDefault="00C62091" w14:paraId="409CE1BD" w14:textId="17BF43E1">
      <w:pPr>
        <w:numPr>
          <w:ilvl w:val="0"/>
          <w:numId w:val="0"/>
        </w:numPr>
        <w:ind w:left="284"/>
        <w:rPr>
          <w:lang w:val="en-GB"/>
        </w:rPr>
      </w:pPr>
    </w:p>
    <w:p w:rsidR="009C7203" w:rsidP="009C7203" w:rsidRDefault="009C7203" w14:paraId="371756E7" w14:textId="3BD27A3E">
      <w:pPr>
        <w:numPr>
          <w:ilvl w:val="0"/>
          <w:numId w:val="0"/>
        </w:numPr>
        <w:ind w:left="284"/>
        <w:rPr>
          <w:lang w:val="en-GB"/>
        </w:rPr>
      </w:pPr>
      <w:r>
        <w:rPr>
          <w:lang w:val="en-GB"/>
        </w:rPr>
        <w:t>On behalf of the Associations,</w:t>
      </w:r>
    </w:p>
    <w:p w:rsidR="002E6AB9" w:rsidP="009C7203" w:rsidRDefault="002E6AB9" w14:paraId="0E306CCD" w14:textId="77777777">
      <w:pPr>
        <w:numPr>
          <w:ilvl w:val="0"/>
          <w:numId w:val="0"/>
        </w:numPr>
        <w:ind w:left="284"/>
        <w:rPr>
          <w:lang w:val="en-GB"/>
        </w:rPr>
      </w:pPr>
    </w:p>
    <w:tbl>
      <w:tblPr>
        <w:tblStyle w:val="TableGrid"/>
        <w:tblW w:w="9209" w:type="dxa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69"/>
        <w:gridCol w:w="1572"/>
        <w:gridCol w:w="1498"/>
        <w:gridCol w:w="3070"/>
      </w:tblGrid>
      <w:tr w:rsidRPr="008C066D" w:rsidR="002E6AB9" w:rsidTr="00A55365" w14:paraId="1DDC8292" w14:textId="6147924C">
        <w:trPr>
          <w:trHeight w:val="2562"/>
        </w:trPr>
        <w:tc>
          <w:tcPr>
            <w:tcW w:w="3069" w:type="dxa"/>
          </w:tcPr>
          <w:p w:rsidRPr="00DC410C" w:rsidR="002E6AB9" w:rsidP="002E6AB9" w:rsidRDefault="002E6AB9" w14:paraId="467C9420" w14:textId="77777777">
            <w:pPr>
              <w:numPr>
                <w:ilvl w:val="0"/>
                <w:numId w:val="0"/>
              </w:numPr>
              <w:spacing w:after="120"/>
              <w:jc w:val="center"/>
              <w:rPr>
                <w:lang w:val="de-DE"/>
              </w:rPr>
            </w:pPr>
            <w:r w:rsidRPr="00DC410C">
              <w:rPr>
                <w:lang w:val="de-DE"/>
              </w:rPr>
              <w:t>Ingo Brinker</w:t>
            </w:r>
          </w:p>
          <w:p w:rsidRPr="00DC410C" w:rsidR="002E6AB9" w:rsidP="002E6AB9" w:rsidRDefault="002E6AB9" w14:paraId="01D9DC13" w14:textId="60311673">
            <w:pPr>
              <w:numPr>
                <w:ilvl w:val="0"/>
                <w:numId w:val="0"/>
              </w:numPr>
              <w:spacing w:after="120"/>
              <w:jc w:val="center"/>
              <w:rPr>
                <w:lang w:val="de-DE"/>
              </w:rPr>
            </w:pPr>
            <w:r w:rsidRPr="00DC410C">
              <w:rPr>
                <w:lang w:val="de-DE"/>
              </w:rPr>
              <w:t>President, Studienvereinigung Kartellrecht</w:t>
            </w:r>
          </w:p>
        </w:tc>
        <w:tc>
          <w:tcPr>
            <w:tcW w:w="3070" w:type="dxa"/>
            <w:gridSpan w:val="2"/>
          </w:tcPr>
          <w:p w:rsidRPr="00DC410C" w:rsidR="002E6AB9" w:rsidP="002E6AB9" w:rsidRDefault="002E6AB9" w14:paraId="1E9E7088" w14:textId="77777777">
            <w:pPr>
              <w:numPr>
                <w:ilvl w:val="0"/>
                <w:numId w:val="0"/>
              </w:numPr>
              <w:spacing w:after="120"/>
              <w:jc w:val="center"/>
              <w:rPr>
                <w:lang w:val="nl-NL"/>
              </w:rPr>
            </w:pPr>
            <w:r w:rsidRPr="00DC410C">
              <w:rPr>
                <w:lang w:val="nl-NL"/>
              </w:rPr>
              <w:t>Mauricette Schaufeli</w:t>
            </w:r>
          </w:p>
          <w:p w:rsidRPr="00DC410C" w:rsidR="002E6AB9" w:rsidP="002E6AB9" w:rsidRDefault="002E6AB9" w14:paraId="3B6A6FF3" w14:textId="295F90A3">
            <w:pPr>
              <w:numPr>
                <w:ilvl w:val="0"/>
                <w:numId w:val="0"/>
              </w:numPr>
              <w:spacing w:after="120"/>
              <w:jc w:val="center"/>
              <w:rPr>
                <w:lang w:val="nl-NL"/>
              </w:rPr>
            </w:pPr>
            <w:r w:rsidRPr="00DC410C">
              <w:rPr>
                <w:lang w:val="nl-NL"/>
              </w:rPr>
              <w:t>President, Vereniging voor Mededingingsrecht</w:t>
            </w:r>
          </w:p>
        </w:tc>
        <w:tc>
          <w:tcPr>
            <w:tcW w:w="3070" w:type="dxa"/>
          </w:tcPr>
          <w:p w:rsidRPr="00DC410C" w:rsidR="002E6AB9" w:rsidP="002E6AB9" w:rsidRDefault="002E6AB9" w14:paraId="5EF8605B" w14:textId="2549C99C">
            <w:pPr>
              <w:numPr>
                <w:ilvl w:val="0"/>
                <w:numId w:val="0"/>
              </w:numPr>
              <w:spacing w:after="120"/>
              <w:jc w:val="center"/>
              <w:rPr>
                <w:lang w:val="es-ES"/>
              </w:rPr>
            </w:pPr>
            <w:r w:rsidRPr="00DC410C">
              <w:rPr>
                <w:lang w:val="es-ES"/>
              </w:rPr>
              <w:t>Marcos Araujo</w:t>
            </w:r>
          </w:p>
          <w:p w:rsidRPr="00DC410C" w:rsidR="002E6AB9" w:rsidP="002E6AB9" w:rsidRDefault="002E6AB9" w14:paraId="4C6F0335" w14:textId="5708DB71">
            <w:pPr>
              <w:numPr>
                <w:ilvl w:val="0"/>
                <w:numId w:val="0"/>
              </w:numPr>
              <w:spacing w:after="120"/>
              <w:jc w:val="center"/>
              <w:rPr>
                <w:lang w:val="es-ES"/>
              </w:rPr>
            </w:pPr>
            <w:r w:rsidRPr="00DC410C">
              <w:rPr>
                <w:lang w:val="es-ES"/>
              </w:rPr>
              <w:t>President, Asociación Española para la Defensa de la Competencia</w:t>
            </w:r>
          </w:p>
        </w:tc>
      </w:tr>
      <w:tr w:rsidRPr="002E6AB9" w:rsidR="00343E26" w:rsidTr="00A55365" w14:paraId="3856C335" w14:textId="77777777">
        <w:tc>
          <w:tcPr>
            <w:tcW w:w="4641" w:type="dxa"/>
            <w:gridSpan w:val="2"/>
          </w:tcPr>
          <w:p w:rsidRPr="008C066D" w:rsidR="00343E26" w:rsidP="002E6AB9" w:rsidRDefault="00343E26" w14:paraId="0FF30775" w14:textId="77777777">
            <w:pPr>
              <w:numPr>
                <w:ilvl w:val="0"/>
                <w:numId w:val="0"/>
              </w:numPr>
              <w:spacing w:after="120"/>
              <w:jc w:val="center"/>
              <w:rPr>
                <w:lang w:val="it-IT"/>
              </w:rPr>
            </w:pPr>
            <w:r w:rsidRPr="008C066D">
              <w:rPr>
                <w:lang w:val="it-IT"/>
              </w:rPr>
              <w:t>Alberto Pera</w:t>
            </w:r>
          </w:p>
          <w:p w:rsidRPr="00343E26" w:rsidR="00343E26" w:rsidP="002E6AB9" w:rsidRDefault="00343E26" w14:paraId="25328C29" w14:textId="3783F09B">
            <w:pPr>
              <w:numPr>
                <w:ilvl w:val="0"/>
                <w:numId w:val="0"/>
              </w:numPr>
              <w:spacing w:after="120"/>
              <w:jc w:val="center"/>
              <w:rPr>
                <w:lang w:val="it-IT"/>
              </w:rPr>
            </w:pPr>
            <w:r w:rsidRPr="008C066D">
              <w:rPr>
                <w:lang w:val="it-IT"/>
              </w:rPr>
              <w:t>President, Associazione Antitrust Italiana</w:t>
            </w:r>
          </w:p>
        </w:tc>
        <w:tc>
          <w:tcPr>
            <w:tcW w:w="4568" w:type="dxa"/>
            <w:gridSpan w:val="2"/>
          </w:tcPr>
          <w:p w:rsidRPr="00BD6CD9" w:rsidR="00343E26" w:rsidP="00343E26" w:rsidRDefault="00343E26" w14:paraId="79FCE5ED" w14:textId="6DCEB417">
            <w:pPr>
              <w:numPr>
                <w:ilvl w:val="0"/>
                <w:numId w:val="0"/>
              </w:numPr>
              <w:spacing w:after="120"/>
              <w:jc w:val="center"/>
            </w:pPr>
            <w:r w:rsidRPr="00BD6CD9">
              <w:t>Léna Sersiron</w:t>
            </w:r>
          </w:p>
          <w:p w:rsidRPr="002E6AB9" w:rsidR="00343E26" w:rsidP="00343E26" w:rsidRDefault="00343E26" w14:paraId="1F37BDE3" w14:textId="760DBBAA">
            <w:pPr>
              <w:numPr>
                <w:ilvl w:val="0"/>
                <w:numId w:val="0"/>
              </w:numPr>
              <w:spacing w:after="120"/>
              <w:jc w:val="center"/>
            </w:pPr>
            <w:r w:rsidRPr="002E6AB9">
              <w:t>President, Association d</w:t>
            </w:r>
            <w:r>
              <w:t xml:space="preserve">es </w:t>
            </w:r>
            <w:r w:rsidRPr="002E6AB9">
              <w:t>avocats pratiquant le</w:t>
            </w:r>
            <w:r>
              <w:t xml:space="preserve"> droit de la concurrence</w:t>
            </w:r>
          </w:p>
        </w:tc>
      </w:tr>
    </w:tbl>
    <w:p w:rsidRPr="002E6AB9" w:rsidR="009C7203" w:rsidP="009C7203" w:rsidRDefault="009C7203" w14:paraId="1ACC6240" w14:textId="77F4B53D">
      <w:pPr>
        <w:numPr>
          <w:ilvl w:val="0"/>
          <w:numId w:val="0"/>
        </w:numPr>
      </w:pPr>
    </w:p>
    <w:p w:rsidRPr="002E6AB9" w:rsidR="00343E26" w:rsidRDefault="00343E26" w14:paraId="7D6981B8" w14:textId="77777777">
      <w:pPr>
        <w:numPr>
          <w:ilvl w:val="0"/>
          <w:numId w:val="0"/>
        </w:numPr>
      </w:pPr>
    </w:p>
    <w:sectPr w:rsidRPr="002E6AB9" w:rsidR="00343E2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A53" w:rsidP="00D26CE5" w:rsidRDefault="00561A53" w14:paraId="4D3FF979" w14:textId="77777777">
      <w:pPr>
        <w:spacing w:after="0" w:line="240" w:lineRule="auto"/>
      </w:pPr>
      <w:r>
        <w:separator/>
      </w:r>
    </w:p>
  </w:endnote>
  <w:endnote w:type="continuationSeparator" w:id="0">
    <w:p w:rsidR="00561A53" w:rsidP="00D26CE5" w:rsidRDefault="00561A53" w14:paraId="3892CA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2748845"/>
      <w:docPartObj>
        <w:docPartGallery w:val="Page Numbers (Bottom of Page)"/>
        <w:docPartUnique/>
      </w:docPartObj>
    </w:sdtPr>
    <w:sdtContent>
      <w:p w:rsidR="000D72B4" w:rsidP="00E03559" w:rsidRDefault="00E03559" w14:paraId="38D4577F" w14:textId="7768736D">
        <w:pPr>
          <w:pStyle w:val="Footer"/>
          <w:numPr>
            <w:ilvl w:val="0"/>
            <w:numId w:val="0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A53" w:rsidP="00D26CE5" w:rsidRDefault="00561A53" w14:paraId="185E064A" w14:textId="77777777">
      <w:pPr>
        <w:spacing w:after="0" w:line="240" w:lineRule="auto"/>
      </w:pPr>
      <w:r>
        <w:separator/>
      </w:r>
    </w:p>
  </w:footnote>
  <w:footnote w:type="continuationSeparator" w:id="0">
    <w:p w:rsidR="00561A53" w:rsidP="00D26CE5" w:rsidRDefault="00561A53" w14:paraId="0218464B" w14:textId="77777777">
      <w:pPr>
        <w:spacing w:after="0" w:line="240" w:lineRule="auto"/>
      </w:pPr>
      <w:r>
        <w:continuationSeparator/>
      </w:r>
    </w:p>
  </w:footnote>
  <w:footnote w:id="1">
    <w:p w:rsidRPr="00D26CE5" w:rsidR="00E54FC9" w:rsidP="00E54FC9" w:rsidRDefault="00E54FC9" w14:paraId="0E96343B" w14:textId="77777777">
      <w:pPr>
        <w:pStyle w:val="FootnoteText"/>
        <w:numPr>
          <w:ilvl w:val="0"/>
          <w:numId w:val="0"/>
        </w:numPr>
        <w:ind w:left="567" w:hanging="567"/>
        <w:rPr>
          <w:lang w:val="en-US"/>
        </w:rPr>
      </w:pPr>
      <w:r>
        <w:rPr>
          <w:rStyle w:val="FootnoteReference"/>
        </w:rPr>
        <w:footnoteRef/>
      </w:r>
      <w:r w:rsidRPr="00D26CE5">
        <w:rPr>
          <w:lang w:val="en-US"/>
        </w:rPr>
        <w:t xml:space="preserve"> </w:t>
      </w:r>
      <w:r w:rsidRPr="00D26CE5">
        <w:rPr>
          <w:lang w:val="en-US"/>
        </w:rPr>
        <w:tab/>
        <w:t>Paragraph 5 of the Draft Guidelines.</w:t>
      </w:r>
      <w:r>
        <w:rPr>
          <w:lang w:val="en-US"/>
        </w:rPr>
        <w:t xml:space="preserve"> </w:t>
      </w:r>
    </w:p>
  </w:footnote>
  <w:footnote w:id="2">
    <w:p w:rsidRPr="00B267AE" w:rsidR="00B267AE" w:rsidP="009040A6" w:rsidRDefault="00B267AE" w14:paraId="25037AED" w14:textId="65D917D4">
      <w:pPr>
        <w:pStyle w:val="FootnoteText"/>
        <w:numPr>
          <w:ilvl w:val="0"/>
          <w:numId w:val="0"/>
        </w:numPr>
        <w:ind w:left="567" w:hanging="567"/>
        <w:rPr>
          <w:lang w:val="en-US"/>
        </w:rPr>
      </w:pPr>
      <w:r>
        <w:rPr>
          <w:rStyle w:val="FootnoteReference"/>
        </w:rPr>
        <w:footnoteRef/>
      </w:r>
      <w:r w:rsidRPr="00B267AE">
        <w:rPr>
          <w:lang w:val="en-US"/>
        </w:rPr>
        <w:t xml:space="preserve"> </w:t>
      </w:r>
      <w:r w:rsidRPr="00B267AE">
        <w:rPr>
          <w:lang w:val="en-US"/>
        </w:rPr>
        <w:tab/>
        <w:t>Paragraph 4 of the Draft Guidelines.</w:t>
      </w:r>
      <w:r>
        <w:rPr>
          <w:lang w:val="en-US"/>
        </w:rPr>
        <w:t xml:space="preserve"> </w:t>
      </w:r>
    </w:p>
  </w:footnote>
  <w:footnote w:id="3">
    <w:p w:rsidRPr="00E54FC9" w:rsidR="00E54FC9" w:rsidP="00E54FC9" w:rsidRDefault="00E54FC9" w14:paraId="449389BC" w14:textId="127E2717">
      <w:pPr>
        <w:pStyle w:val="FootnoteText"/>
        <w:numPr>
          <w:ilvl w:val="0"/>
          <w:numId w:val="0"/>
        </w:numPr>
        <w:ind w:left="567" w:hanging="567"/>
        <w:rPr>
          <w:lang w:val="en-US"/>
        </w:rPr>
      </w:pPr>
      <w:r>
        <w:rPr>
          <w:rStyle w:val="FootnoteReference"/>
        </w:rPr>
        <w:footnoteRef/>
      </w:r>
      <w:r w:rsidRPr="00E54FC9">
        <w:rPr>
          <w:lang w:val="en-US"/>
        </w:rPr>
        <w:t xml:space="preserve"> </w:t>
      </w:r>
      <w:r w:rsidRPr="00E54FC9">
        <w:rPr>
          <w:lang w:val="en-US"/>
        </w:rPr>
        <w:tab/>
        <w:t>Paragra</w:t>
      </w:r>
      <w:r>
        <w:rPr>
          <w:lang w:val="en-US"/>
        </w:rPr>
        <w:t>p</w:t>
      </w:r>
      <w:r w:rsidRPr="00E54FC9">
        <w:rPr>
          <w:lang w:val="en-US"/>
        </w:rPr>
        <w:t>h</w:t>
      </w:r>
      <w:r w:rsidR="00567093">
        <w:rPr>
          <w:lang w:val="en-US"/>
        </w:rPr>
        <w:t>s</w:t>
      </w:r>
      <w:r w:rsidRPr="00E54FC9">
        <w:rPr>
          <w:lang w:val="en-US"/>
        </w:rPr>
        <w:t xml:space="preserve"> 21</w:t>
      </w:r>
      <w:r>
        <w:rPr>
          <w:lang w:val="en-US"/>
        </w:rPr>
        <w:t>, 32 and 54 of the Draft Guidelines.</w:t>
      </w:r>
    </w:p>
  </w:footnote>
  <w:footnote w:id="4">
    <w:p w:rsidRPr="009040A6" w:rsidR="009040A6" w:rsidP="009040A6" w:rsidRDefault="009040A6" w14:paraId="76DCB646" w14:textId="2236D007">
      <w:pPr>
        <w:pStyle w:val="FootnoteText"/>
        <w:numPr>
          <w:ilvl w:val="0"/>
          <w:numId w:val="0"/>
        </w:numPr>
        <w:ind w:left="567" w:hanging="567"/>
        <w:rPr>
          <w:lang w:val="en-US"/>
        </w:rPr>
      </w:pPr>
      <w:r>
        <w:rPr>
          <w:rStyle w:val="FootnoteReference"/>
        </w:rPr>
        <w:footnoteRef/>
      </w:r>
      <w:r w:rsidRPr="009040A6">
        <w:rPr>
          <w:lang w:val="en-US"/>
        </w:rPr>
        <w:t xml:space="preserve"> </w:t>
      </w:r>
      <w:r w:rsidRPr="009040A6">
        <w:rPr>
          <w:lang w:val="en-US"/>
        </w:rPr>
        <w:tab/>
      </w:r>
      <w:r>
        <w:rPr>
          <w:lang w:val="en-US"/>
        </w:rPr>
        <w:t xml:space="preserve">An example – among </w:t>
      </w:r>
      <w:r w:rsidR="00E54FC9">
        <w:rPr>
          <w:lang w:val="en-US"/>
        </w:rPr>
        <w:t>others</w:t>
      </w:r>
      <w:r>
        <w:rPr>
          <w:lang w:val="en-US"/>
        </w:rPr>
        <w:t xml:space="preserve"> – could be that when firms have “</w:t>
      </w:r>
      <w:r w:rsidRPr="000C5683">
        <w:rPr>
          <w:i/>
          <w:iCs/>
          <w:lang w:val="en-US"/>
        </w:rPr>
        <w:t>high or very high market</w:t>
      </w:r>
      <w:r>
        <w:rPr>
          <w:lang w:val="en-US"/>
        </w:rPr>
        <w:t>” shares or when markets are deemed “</w:t>
      </w:r>
      <w:r w:rsidRPr="000C5683">
        <w:rPr>
          <w:i/>
          <w:iCs/>
          <w:lang w:val="en-US"/>
        </w:rPr>
        <w:t>highly concentrated</w:t>
      </w:r>
      <w:r>
        <w:rPr>
          <w:lang w:val="en-US"/>
        </w:rPr>
        <w:t>”, the Commission will “</w:t>
      </w:r>
      <w:r w:rsidRPr="009040A6">
        <w:rPr>
          <w:i/>
          <w:iCs/>
          <w:lang w:val="en-US"/>
        </w:rPr>
        <w:t>require substantial evidence pointing away from a SIEC</w:t>
      </w:r>
      <w:r>
        <w:rPr>
          <w:lang w:val="en-US"/>
        </w:rPr>
        <w:t>”</w:t>
      </w:r>
      <w:r w:rsidR="00E54FC9">
        <w:rPr>
          <w:lang w:val="en-US"/>
        </w:rPr>
        <w:t xml:space="preserve"> (p</w:t>
      </w:r>
      <w:r w:rsidRPr="009040A6">
        <w:rPr>
          <w:lang w:val="en-US"/>
        </w:rPr>
        <w:t>aragraph 127 of the Draft Guidelines</w:t>
      </w:r>
      <w:r w:rsidR="00E54FC9">
        <w:rPr>
          <w:lang w:val="en-US"/>
        </w:rPr>
        <w:t>)</w:t>
      </w:r>
      <w:r w:rsidRPr="009040A6">
        <w:rPr>
          <w:lang w:val="en-US"/>
        </w:rPr>
        <w:t>.</w:t>
      </w:r>
      <w:r>
        <w:rPr>
          <w:lang w:val="en-US"/>
        </w:rPr>
        <w:t xml:space="preserve"> </w:t>
      </w:r>
    </w:p>
  </w:footnote>
  <w:footnote w:id="5">
    <w:p w:rsidRPr="00567093" w:rsidR="00567093" w:rsidP="00567093" w:rsidRDefault="00567093" w14:paraId="68EB23B3" w14:textId="5E0B94C3">
      <w:pPr>
        <w:pStyle w:val="FootnoteText"/>
        <w:numPr>
          <w:ilvl w:val="0"/>
          <w:numId w:val="0"/>
        </w:numPr>
        <w:ind w:left="567" w:hanging="567"/>
        <w:rPr>
          <w:lang w:val="en-US"/>
        </w:rPr>
      </w:pPr>
      <w:r>
        <w:rPr>
          <w:rStyle w:val="FootnoteReference"/>
        </w:rPr>
        <w:footnoteRef/>
      </w:r>
      <w:r w:rsidRPr="00567093">
        <w:rPr>
          <w:lang w:val="en-US"/>
        </w:rPr>
        <w:t xml:space="preserve"> </w:t>
      </w:r>
      <w:r w:rsidRPr="00567093">
        <w:rPr>
          <w:lang w:val="en-US"/>
        </w:rPr>
        <w:tab/>
        <w:t>Par</w:t>
      </w:r>
      <w:r>
        <w:rPr>
          <w:lang w:val="en-US"/>
        </w:rPr>
        <w:t>agraphs 20, 27, 300, 342 of the Draft Merger Guidelines.</w:t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tblInd w:w="-5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0060"/>
    </w:tblGrid>
    <w:tr w:rsidRPr="000D72B4" w:rsidR="00413371" w:rsidTr="00413371" w14:paraId="02EC87E0" w14:textId="77777777">
      <w:tc>
        <w:tcPr>
          <w:tcW w:w="10060" w:type="dxa"/>
          <w:vAlign w:val="center"/>
        </w:tcPr>
        <w:p w:rsidRPr="000D72B4" w:rsidR="00413371" w:rsidP="00413371" w:rsidRDefault="00413371" w14:paraId="22C53770" w14:textId="4CA7D7BE">
          <w:pPr>
            <w:pStyle w:val="Header"/>
            <w:numPr>
              <w:ilvl w:val="0"/>
              <w:numId w:val="0"/>
            </w:numPr>
            <w:jc w:val="center"/>
            <w:rPr>
              <w:i/>
              <w:iCs/>
            </w:rPr>
          </w:pPr>
          <w:r w:rsidRPr="00413371">
            <w:rPr>
              <w:noProof/>
            </w:rPr>
            <w:drawing>
              <wp:anchor distT="0" distB="0" distL="114300" distR="114300" simplePos="0" relativeHeight="251659264" behindDoc="1" locked="0" layoutInCell="1" allowOverlap="1" wp14:editId="4BF38FBA" wp14:anchorId="3B3E7264">
                <wp:simplePos x="0" y="0"/>
                <wp:positionH relativeFrom="column">
                  <wp:posOffset>4224655</wp:posOffset>
                </wp:positionH>
                <wp:positionV relativeFrom="paragraph">
                  <wp:posOffset>79375</wp:posOffset>
                </wp:positionV>
                <wp:extent cx="1247140" cy="486410"/>
                <wp:effectExtent l="0" t="0" r="0" b="8890"/>
                <wp:wrapTight wrapText="bothSides">
                  <wp:wrapPolygon edited="0">
                    <wp:start x="0" y="0"/>
                    <wp:lineTo x="0" y="21149"/>
                    <wp:lineTo x="21116" y="21149"/>
                    <wp:lineTo x="21116" y="0"/>
                    <wp:lineTo x="0" y="0"/>
                  </wp:wrapPolygon>
                </wp:wrapTight>
                <wp:docPr id="443712711" name="Image 6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Vereniging voor Mededingingsrech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14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13371">
            <w:rPr>
              <w:i/>
              <w:iCs/>
              <w:noProof/>
            </w:rPr>
            <w:drawing>
              <wp:anchor distT="0" distB="0" distL="114300" distR="114300" simplePos="0" relativeHeight="251658240" behindDoc="1" locked="0" layoutInCell="1" allowOverlap="1" wp14:editId="7FA36BC5" wp14:anchorId="31E02333">
                <wp:simplePos x="0" y="0"/>
                <wp:positionH relativeFrom="column">
                  <wp:posOffset>2200275</wp:posOffset>
                </wp:positionH>
                <wp:positionV relativeFrom="paragraph">
                  <wp:posOffset>174625</wp:posOffset>
                </wp:positionV>
                <wp:extent cx="1830070" cy="298450"/>
                <wp:effectExtent l="0" t="0" r="0" b="6350"/>
                <wp:wrapTight wrapText="bothSides">
                  <wp:wrapPolygon edited="0">
                    <wp:start x="0" y="0"/>
                    <wp:lineTo x="0" y="20681"/>
                    <wp:lineTo x="21360" y="20681"/>
                    <wp:lineTo x="21360" y="0"/>
                    <wp:lineTo x="0" y="0"/>
                  </wp:wrapPolygon>
                </wp:wrapTight>
                <wp:docPr id="1379466195" name="Graphique 5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0896079" name="Graphique 1860896079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0070" cy="298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13371">
            <w:rPr>
              <w:i/>
              <w:iCs/>
              <w:noProof/>
            </w:rPr>
            <w:drawing>
              <wp:inline distT="0" distB="0" distL="0" distR="0" wp14:anchorId="47255B17" wp14:editId="7F245C78">
                <wp:extent cx="1078138" cy="454778"/>
                <wp:effectExtent l="0" t="0" r="8255" b="2540"/>
                <wp:docPr id="1048284414" name="Image 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sociación Española para la Defensa de la Competencia header 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625" cy="459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  <w:iCs/>
            </w:rPr>
            <w:t xml:space="preserve">    </w:t>
          </w:r>
          <w:r w:rsidRPr="00413371">
            <w:rPr>
              <w:noProof/>
            </w:rPr>
            <w:drawing>
              <wp:inline distT="0" distB="0" distL="0" distR="0" wp14:anchorId="30FC53A4" wp14:editId="430A2865">
                <wp:extent cx="647171" cy="644006"/>
                <wp:effectExtent l="0" t="0" r="635" b="0"/>
                <wp:docPr id="275944356" name="Image 3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480" cy="6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  <w:iCs/>
            </w:rPr>
            <w:t xml:space="preserve">      </w:t>
          </w:r>
          <w:r w:rsidRPr="00413371">
            <w:rPr>
              <w:noProof/>
              <w:sz w:val="24"/>
              <w:szCs w:val="24"/>
            </w:rPr>
            <w:drawing>
              <wp:inline distT="0" distB="0" distL="0" distR="0" wp14:anchorId="41C9876E" wp14:editId="6B5D7122">
                <wp:extent cx="522564" cy="651452"/>
                <wp:effectExtent l="0" t="0" r="0" b="0"/>
                <wp:docPr id="1805948414" name="Picture" descr="" titl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 preferRelativeResize="0"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628" cy="655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D72B4" w:rsidP="00413371" w:rsidRDefault="000D72B4" w14:paraId="5CC7DCE9" w14:textId="313A4065">
    <w:pPr>
      <w:pStyle w:val="Header"/>
      <w:numPr>
        <w:ilvl w:val="0"/>
        <w:numId w:val="0"/>
      </w:numPr>
      <w:jc w:val="center"/>
      <w:rPr>
        <w:i/>
        <w:iCs/>
      </w:rPr>
    </w:pPr>
  </w:p>
  <w:p w:rsidRPr="000D72B4" w:rsidR="00A069AB" w:rsidP="00413371" w:rsidRDefault="00A069AB" w14:paraId="2382AA78" w14:textId="77777777">
    <w:pPr>
      <w:pStyle w:val="Header"/>
      <w:numPr>
        <w:ilvl w:val="0"/>
        <w:numId w:val="0"/>
      </w:numPr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683"/>
    <w:multiLevelType w:val="multilevel"/>
    <w:tmpl w:val="1EBA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B768FF"/>
    <w:multiLevelType w:val="hybridMultilevel"/>
    <w:tmpl w:val="A6E8B6D6"/>
    <w:lvl w:ilvl="0" w:tplc="28D25FF2">
      <w:start w:val="1"/>
      <w:numFmt w:val="decimal"/>
      <w:pStyle w:val="Nor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pStyle w:val="Subtitle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71860"/>
    <w:multiLevelType w:val="hybridMultilevel"/>
    <w:tmpl w:val="31C483FC"/>
    <w:lvl w:ilvl="0" w:tplc="500647E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2662F73"/>
    <w:multiLevelType w:val="multilevel"/>
    <w:tmpl w:val="0ACA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4624CB"/>
    <w:multiLevelType w:val="multilevel"/>
    <w:tmpl w:val="7E4E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0C55E3"/>
    <w:multiLevelType w:val="multilevel"/>
    <w:tmpl w:val="6BF6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7143266">
    <w:abstractNumId w:val="1"/>
  </w:num>
  <w:num w:numId="2" w16cid:durableId="900289005">
    <w:abstractNumId w:val="1"/>
  </w:num>
  <w:num w:numId="3" w16cid:durableId="805509288">
    <w:abstractNumId w:val="3"/>
  </w:num>
  <w:num w:numId="4" w16cid:durableId="1905295353">
    <w:abstractNumId w:val="0"/>
  </w:num>
  <w:num w:numId="5" w16cid:durableId="1355495849">
    <w:abstractNumId w:val="4"/>
  </w:num>
  <w:num w:numId="6" w16cid:durableId="1015810272">
    <w:abstractNumId w:val="5"/>
  </w:num>
  <w:num w:numId="7" w16cid:durableId="2135560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50"/>
    <w:rsid w:val="00016536"/>
    <w:rsid w:val="0002097F"/>
    <w:rsid w:val="00051AC8"/>
    <w:rsid w:val="000666E0"/>
    <w:rsid w:val="0009001B"/>
    <w:rsid w:val="0009466F"/>
    <w:rsid w:val="000B7064"/>
    <w:rsid w:val="000C16E9"/>
    <w:rsid w:val="000C20AA"/>
    <w:rsid w:val="000C5683"/>
    <w:rsid w:val="000D72B4"/>
    <w:rsid w:val="000E7135"/>
    <w:rsid w:val="00104F64"/>
    <w:rsid w:val="00116E3A"/>
    <w:rsid w:val="00145EE7"/>
    <w:rsid w:val="0017035B"/>
    <w:rsid w:val="001A18E7"/>
    <w:rsid w:val="001D5D85"/>
    <w:rsid w:val="001E102C"/>
    <w:rsid w:val="0020416E"/>
    <w:rsid w:val="00217B6A"/>
    <w:rsid w:val="002360C7"/>
    <w:rsid w:val="00240C3F"/>
    <w:rsid w:val="00246771"/>
    <w:rsid w:val="002A4765"/>
    <w:rsid w:val="002B172F"/>
    <w:rsid w:val="002B3D49"/>
    <w:rsid w:val="002E6AB9"/>
    <w:rsid w:val="002F0BF7"/>
    <w:rsid w:val="002F6240"/>
    <w:rsid w:val="00300153"/>
    <w:rsid w:val="00314336"/>
    <w:rsid w:val="00320AAE"/>
    <w:rsid w:val="0033555F"/>
    <w:rsid w:val="00342722"/>
    <w:rsid w:val="00343E26"/>
    <w:rsid w:val="00345049"/>
    <w:rsid w:val="00346140"/>
    <w:rsid w:val="003534FE"/>
    <w:rsid w:val="00373D47"/>
    <w:rsid w:val="00381052"/>
    <w:rsid w:val="003B10B0"/>
    <w:rsid w:val="003B3CE0"/>
    <w:rsid w:val="003C4634"/>
    <w:rsid w:val="003E1962"/>
    <w:rsid w:val="003E2BA2"/>
    <w:rsid w:val="0040222A"/>
    <w:rsid w:val="00413371"/>
    <w:rsid w:val="004334EB"/>
    <w:rsid w:val="004632EC"/>
    <w:rsid w:val="004718E1"/>
    <w:rsid w:val="004C1F05"/>
    <w:rsid w:val="004C5EB9"/>
    <w:rsid w:val="004E6B44"/>
    <w:rsid w:val="00534CC8"/>
    <w:rsid w:val="00540DA2"/>
    <w:rsid w:val="00542461"/>
    <w:rsid w:val="0055261A"/>
    <w:rsid w:val="00561A53"/>
    <w:rsid w:val="005620A3"/>
    <w:rsid w:val="00567093"/>
    <w:rsid w:val="005710B9"/>
    <w:rsid w:val="005904E2"/>
    <w:rsid w:val="00591034"/>
    <w:rsid w:val="005958D4"/>
    <w:rsid w:val="005A349B"/>
    <w:rsid w:val="005A4FCC"/>
    <w:rsid w:val="005D79F0"/>
    <w:rsid w:val="005F11F2"/>
    <w:rsid w:val="005F579A"/>
    <w:rsid w:val="005F74D3"/>
    <w:rsid w:val="006149E4"/>
    <w:rsid w:val="0062093A"/>
    <w:rsid w:val="00622394"/>
    <w:rsid w:val="00647351"/>
    <w:rsid w:val="00662E0E"/>
    <w:rsid w:val="00675901"/>
    <w:rsid w:val="00676A7A"/>
    <w:rsid w:val="00676E2E"/>
    <w:rsid w:val="006A54AB"/>
    <w:rsid w:val="006C010E"/>
    <w:rsid w:val="007015EB"/>
    <w:rsid w:val="0072216B"/>
    <w:rsid w:val="00727549"/>
    <w:rsid w:val="0074244E"/>
    <w:rsid w:val="00757778"/>
    <w:rsid w:val="00766EED"/>
    <w:rsid w:val="007776B1"/>
    <w:rsid w:val="00785CF8"/>
    <w:rsid w:val="007B2E8D"/>
    <w:rsid w:val="007C3901"/>
    <w:rsid w:val="007C4BAC"/>
    <w:rsid w:val="007C6E53"/>
    <w:rsid w:val="007D1F8A"/>
    <w:rsid w:val="007E3B93"/>
    <w:rsid w:val="007F5BD1"/>
    <w:rsid w:val="008074B3"/>
    <w:rsid w:val="00835651"/>
    <w:rsid w:val="0087206D"/>
    <w:rsid w:val="00884E1A"/>
    <w:rsid w:val="008C066D"/>
    <w:rsid w:val="009040A6"/>
    <w:rsid w:val="009233D7"/>
    <w:rsid w:val="00946D50"/>
    <w:rsid w:val="0096794B"/>
    <w:rsid w:val="009A0E1F"/>
    <w:rsid w:val="009A0EA6"/>
    <w:rsid w:val="009C05C2"/>
    <w:rsid w:val="009C1C38"/>
    <w:rsid w:val="009C7203"/>
    <w:rsid w:val="009D5B1F"/>
    <w:rsid w:val="009D6CA2"/>
    <w:rsid w:val="009E007B"/>
    <w:rsid w:val="009F3ED8"/>
    <w:rsid w:val="00A069AB"/>
    <w:rsid w:val="00A54D4E"/>
    <w:rsid w:val="00A55365"/>
    <w:rsid w:val="00A61A9C"/>
    <w:rsid w:val="00A62D24"/>
    <w:rsid w:val="00A67D77"/>
    <w:rsid w:val="00A94233"/>
    <w:rsid w:val="00A9639E"/>
    <w:rsid w:val="00AA1E51"/>
    <w:rsid w:val="00AA3039"/>
    <w:rsid w:val="00AB32AB"/>
    <w:rsid w:val="00AD61CF"/>
    <w:rsid w:val="00AE77F6"/>
    <w:rsid w:val="00B00141"/>
    <w:rsid w:val="00B10A99"/>
    <w:rsid w:val="00B267AE"/>
    <w:rsid w:val="00B536BC"/>
    <w:rsid w:val="00B834EC"/>
    <w:rsid w:val="00B8371E"/>
    <w:rsid w:val="00B83B24"/>
    <w:rsid w:val="00BB0F3F"/>
    <w:rsid w:val="00BC41E4"/>
    <w:rsid w:val="00BC552B"/>
    <w:rsid w:val="00BD5D08"/>
    <w:rsid w:val="00BD6CD9"/>
    <w:rsid w:val="00BE48DE"/>
    <w:rsid w:val="00BF4E4F"/>
    <w:rsid w:val="00BF58E1"/>
    <w:rsid w:val="00C07296"/>
    <w:rsid w:val="00C136F7"/>
    <w:rsid w:val="00C24907"/>
    <w:rsid w:val="00C43080"/>
    <w:rsid w:val="00C457A2"/>
    <w:rsid w:val="00C509DF"/>
    <w:rsid w:val="00C60291"/>
    <w:rsid w:val="00C62091"/>
    <w:rsid w:val="00C7320F"/>
    <w:rsid w:val="00C850FD"/>
    <w:rsid w:val="00C85A0A"/>
    <w:rsid w:val="00C90E5F"/>
    <w:rsid w:val="00CA0CF8"/>
    <w:rsid w:val="00CB52C5"/>
    <w:rsid w:val="00CC5598"/>
    <w:rsid w:val="00CC6D16"/>
    <w:rsid w:val="00CC7929"/>
    <w:rsid w:val="00CD2C48"/>
    <w:rsid w:val="00CE1878"/>
    <w:rsid w:val="00CE26DB"/>
    <w:rsid w:val="00CF3666"/>
    <w:rsid w:val="00D02FB3"/>
    <w:rsid w:val="00D17D5A"/>
    <w:rsid w:val="00D26CE5"/>
    <w:rsid w:val="00D27357"/>
    <w:rsid w:val="00D3477B"/>
    <w:rsid w:val="00D40B13"/>
    <w:rsid w:val="00D410E0"/>
    <w:rsid w:val="00D8496D"/>
    <w:rsid w:val="00D934BF"/>
    <w:rsid w:val="00D93D94"/>
    <w:rsid w:val="00DA5674"/>
    <w:rsid w:val="00DA59C1"/>
    <w:rsid w:val="00DC410C"/>
    <w:rsid w:val="00DD1DD9"/>
    <w:rsid w:val="00DF0B61"/>
    <w:rsid w:val="00E03559"/>
    <w:rsid w:val="00E223B9"/>
    <w:rsid w:val="00E22ADF"/>
    <w:rsid w:val="00E3133E"/>
    <w:rsid w:val="00E32C27"/>
    <w:rsid w:val="00E35978"/>
    <w:rsid w:val="00E54FC9"/>
    <w:rsid w:val="00EB0FC6"/>
    <w:rsid w:val="00EC1120"/>
    <w:rsid w:val="00ED2047"/>
    <w:rsid w:val="00ED7F3A"/>
    <w:rsid w:val="00EE430B"/>
    <w:rsid w:val="00EE4FF6"/>
    <w:rsid w:val="00EF4005"/>
    <w:rsid w:val="00F0066C"/>
    <w:rsid w:val="00F263D4"/>
    <w:rsid w:val="00F26DAE"/>
    <w:rsid w:val="00F45AF6"/>
    <w:rsid w:val="00F717B4"/>
    <w:rsid w:val="00F82C6D"/>
    <w:rsid w:val="00F85116"/>
    <w:rsid w:val="00F85FF4"/>
    <w:rsid w:val="00FD609D"/>
    <w:rsid w:val="00FE2D02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D563E"/>
  <w15:chartTrackingRefBased/>
  <w15:docId w15:val="{D10E01D4-9B6D-46E2-98AC-A4E9561B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Para numéroté"/>
    <w:qFormat/>
    <w:rsid w:val="002F6240"/>
    <w:pPr>
      <w:numPr>
        <w:numId w:val="2"/>
      </w:numPr>
      <w:spacing w:after="240" w:line="276" w:lineRule="auto"/>
      <w:ind w:left="0" w:hanging="284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DA2"/>
    <w:pPr>
      <w:keepNext/>
      <w:keepLines/>
      <w:numPr>
        <w:numId w:val="0"/>
      </w:numPr>
      <w:spacing w:before="360" w:after="80"/>
      <w:ind w:left="567" w:hanging="567"/>
      <w:outlineLvl w:val="0"/>
    </w:pPr>
    <w:rPr>
      <w:rFonts w:eastAsiaTheme="majorEastAsia" w:cstheme="majorBidi"/>
      <w:b/>
      <w:smallCaps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D5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D50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D50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D50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D50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D50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D50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D50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40DA2"/>
    <w:rPr>
      <w:rFonts w:ascii="Times New Roman" w:hAnsi="Times New Roman" w:eastAsiaTheme="majorEastAsia" w:cstheme="majorBidi"/>
      <w:b/>
      <w:smallCaps/>
      <w:sz w:val="24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46D5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46D5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46D50"/>
    <w:rPr>
      <w:rFonts w:eastAsiaTheme="majorEastAsia" w:cstheme="majorBidi"/>
      <w:i/>
      <w:iCs/>
      <w:color w:val="0F4761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46D50"/>
    <w:rPr>
      <w:rFonts w:eastAsiaTheme="majorEastAsia" w:cstheme="majorBidi"/>
      <w:color w:val="0F4761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46D50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46D50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46D50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46D50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46D5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46D5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D50"/>
    <w:pPr>
      <w:numPr>
        <w:ilvl w:val="1"/>
      </w:numPr>
      <w:spacing w:after="160"/>
      <w:ind w:left="72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46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D5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46D50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946D50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946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D5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46D50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46D50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CE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26CE5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C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D72B4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72B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D72B4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72B4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B52C5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133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1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C3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C1C3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C3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C1C3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e8e0a5-234e-414e-9e26-a63cbcb4ac41}" enabled="0" method="" siteId="{9fe8e0a5-234e-414e-9e26-a63cbcb4ac41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1900-01-01T00:00:00.0000000Z</dcterms:created>
  <dcterms:modified xsi:type="dcterms:W3CDTF">2026-07-05T22:00:00.0000000Z</dcterms:modified>
</coreProperties>
</file>