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A5FD" w14:textId="2DD5EF8C" w:rsidR="007D20BB" w:rsidRPr="00D03F93" w:rsidRDefault="007D20BB" w:rsidP="00440CE9">
      <w:pPr>
        <w:pStyle w:val="Heading5"/>
        <w:pBdr>
          <w:top w:val="single" w:sz="4" w:space="15" w:color="auto"/>
          <w:left w:val="single" w:sz="4" w:space="15" w:color="auto"/>
          <w:bottom w:val="single" w:sz="4" w:space="15" w:color="auto"/>
          <w:right w:val="single" w:sz="4" w:space="15" w:color="auto"/>
        </w:pBdr>
      </w:pPr>
      <w:r w:rsidRPr="00D03F93">
        <w:t>CONTRIBUTION OF THE APDC IN THE CONTEXT OF THE TARGETED</w:t>
      </w:r>
      <w:r w:rsidR="00440CE9" w:rsidRPr="00D03F93">
        <w:t xml:space="preserve"> </w:t>
      </w:r>
      <w:r w:rsidRPr="00D03F93">
        <w:t>CONSULTATION ON THE MERGER CONTROL GUIDELINES LAUNCHED BY THE</w:t>
      </w:r>
      <w:r w:rsidR="00440CE9" w:rsidRPr="00D03F93">
        <w:t xml:space="preserve"> </w:t>
      </w:r>
      <w:r w:rsidRPr="00D03F93">
        <w:t>EUROPEAN COMMISSION</w:t>
      </w:r>
    </w:p>
    <w:p w14:paraId="7ED5A282" w14:textId="139AC1A4" w:rsidR="00391839" w:rsidRPr="00D03F93" w:rsidRDefault="007D20BB" w:rsidP="007D20BB">
      <w:pPr>
        <w:pStyle w:val="Heading5"/>
        <w:pBdr>
          <w:top w:val="single" w:sz="4" w:space="15" w:color="auto"/>
          <w:left w:val="single" w:sz="4" w:space="15" w:color="auto"/>
          <w:bottom w:val="single" w:sz="4" w:space="15" w:color="auto"/>
          <w:right w:val="single" w:sz="4" w:space="15" w:color="auto"/>
        </w:pBdr>
      </w:pPr>
      <w:r w:rsidRPr="00D03F93">
        <w:t>26 June 2026</w:t>
      </w:r>
    </w:p>
    <w:p w14:paraId="74F8595F" w14:textId="6D6CADCC" w:rsidR="002D1B07" w:rsidRPr="00D03F93" w:rsidRDefault="00391839" w:rsidP="006340E6">
      <w:pPr>
        <w:pStyle w:val="Heading1"/>
      </w:pPr>
      <w:r w:rsidRPr="00D03F93">
        <w:t>INTRODUCTION</w:t>
      </w:r>
    </w:p>
    <w:p w14:paraId="127D7B23" w14:textId="6C48C24A" w:rsidR="002D1B07" w:rsidRPr="00D03F93" w:rsidRDefault="002D1B07" w:rsidP="006340E6">
      <w:pPr>
        <w:pStyle w:val="Style1"/>
        <w:tabs>
          <w:tab w:val="clear" w:pos="360"/>
          <w:tab w:val="num" w:pos="709"/>
        </w:tabs>
      </w:pPr>
      <w:r w:rsidRPr="00D03F93">
        <w:t xml:space="preserve">The French Association des </w:t>
      </w:r>
      <w:r w:rsidRPr="00D03F93">
        <w:rPr>
          <w:i/>
          <w:iCs/>
        </w:rPr>
        <w:t xml:space="preserve">Avocats </w:t>
      </w:r>
      <w:proofErr w:type="spellStart"/>
      <w:r w:rsidRPr="00D03F93">
        <w:rPr>
          <w:i/>
          <w:iCs/>
        </w:rPr>
        <w:t>pratiquant</w:t>
      </w:r>
      <w:proofErr w:type="spellEnd"/>
      <w:r w:rsidRPr="00D03F93">
        <w:rPr>
          <w:i/>
          <w:iCs/>
        </w:rPr>
        <w:t xml:space="preserve"> le droit de la concurrence</w:t>
      </w:r>
      <w:r w:rsidRPr="00D03F93">
        <w:t xml:space="preserve"> (</w:t>
      </w:r>
      <w:r w:rsidR="002D7F99">
        <w:t>“</w:t>
      </w:r>
      <w:r w:rsidRPr="00D03F93">
        <w:rPr>
          <w:b/>
          <w:bCs/>
        </w:rPr>
        <w:t>APDC</w:t>
      </w:r>
      <w:r w:rsidR="002D7F99">
        <w:t>”</w:t>
      </w:r>
      <w:r w:rsidRPr="00D03F93">
        <w:t>) welcomes the opportunity to comment on the European Commission</w:t>
      </w:r>
      <w:r w:rsidR="002D7F99">
        <w:t>’</w:t>
      </w:r>
      <w:r w:rsidRPr="00D03F93">
        <w:t xml:space="preserve">s (the </w:t>
      </w:r>
      <w:r w:rsidR="002D7F99">
        <w:t>“</w:t>
      </w:r>
      <w:r w:rsidRPr="00D03F93">
        <w:rPr>
          <w:b/>
          <w:bCs/>
        </w:rPr>
        <w:t>Commission</w:t>
      </w:r>
      <w:r w:rsidR="002D7F99">
        <w:t>”</w:t>
      </w:r>
      <w:r w:rsidRPr="00D03F93">
        <w:t xml:space="preserve">) draft Merger Guidelines published on 30 April 2026 (the </w:t>
      </w:r>
      <w:r w:rsidR="002D7F99">
        <w:t>“</w:t>
      </w:r>
      <w:r w:rsidRPr="00D03F93">
        <w:rPr>
          <w:b/>
          <w:bCs/>
        </w:rPr>
        <w:t>Draft Guidelines</w:t>
      </w:r>
      <w:r w:rsidR="002D7F99">
        <w:t>”</w:t>
      </w:r>
      <w:r w:rsidRPr="00D03F93">
        <w:t>).</w:t>
      </w:r>
      <w:r w:rsidR="00FA53C4" w:rsidRPr="00D03F93">
        <w:t xml:space="preserve"> </w:t>
      </w:r>
      <w:r w:rsidRPr="00D03F93">
        <w:t xml:space="preserve">This </w:t>
      </w:r>
      <w:r w:rsidR="00F82788" w:rsidRPr="00D03F93">
        <w:t xml:space="preserve">contribution </w:t>
      </w:r>
      <w:r w:rsidRPr="00D03F93">
        <w:t>follows the APDC</w:t>
      </w:r>
      <w:r w:rsidR="002D7F99">
        <w:t>’</w:t>
      </w:r>
      <w:r w:rsidRPr="00D03F93">
        <w:t>s response to the Commission</w:t>
      </w:r>
      <w:r w:rsidR="002D7F99">
        <w:t>’</w:t>
      </w:r>
      <w:r w:rsidRPr="00D03F93">
        <w:t xml:space="preserve">s initial consultation on the </w:t>
      </w:r>
      <w:r w:rsidR="00F82788" w:rsidRPr="00D03F93">
        <w:t xml:space="preserve">revision of the merger control </w:t>
      </w:r>
      <w:r w:rsidRPr="00D03F93">
        <w:t>guidelines</w:t>
      </w:r>
      <w:r w:rsidR="00F82788" w:rsidRPr="00D03F93">
        <w:t xml:space="preserve"> (</w:t>
      </w:r>
      <w:r w:rsidR="002D7F99">
        <w:t>“</w:t>
      </w:r>
      <w:r w:rsidR="00F82788" w:rsidRPr="00D03F93">
        <w:t>Guidelines</w:t>
      </w:r>
      <w:r w:rsidR="002D7F99">
        <w:t>”</w:t>
      </w:r>
      <w:r w:rsidR="00F82788" w:rsidRPr="00D03F93">
        <w:t>)</w:t>
      </w:r>
      <w:r w:rsidR="0082664D">
        <w:t>.</w:t>
      </w:r>
      <w:r w:rsidR="00F82788" w:rsidRPr="00D03F93">
        <w:rPr>
          <w:rStyle w:val="FootnoteReference"/>
        </w:rPr>
        <w:footnoteReference w:id="1"/>
      </w:r>
      <w:r w:rsidR="003A2389">
        <w:t xml:space="preserve"> </w:t>
      </w:r>
      <w:r w:rsidR="00F06F0B" w:rsidRPr="00D03F93">
        <w:t>T</w:t>
      </w:r>
      <w:r w:rsidRPr="00D03F93">
        <w:t>he APDC appreciates the Commission</w:t>
      </w:r>
      <w:r w:rsidR="002D7F99">
        <w:t>’</w:t>
      </w:r>
      <w:r w:rsidRPr="00D03F93">
        <w:t xml:space="preserve">s continued engagement with stakeholders at this critical juncture for EU competition policy. As noted in </w:t>
      </w:r>
      <w:r w:rsidR="00F82788" w:rsidRPr="00D03F93">
        <w:t xml:space="preserve">our </w:t>
      </w:r>
      <w:r w:rsidRPr="00D03F93">
        <w:t xml:space="preserve">first </w:t>
      </w:r>
      <w:r w:rsidR="00F82788" w:rsidRPr="00D03F93">
        <w:t>contribution</w:t>
      </w:r>
      <w:r w:rsidRPr="00D03F93">
        <w:t>, the revision arrives at a time of considerable economic and geopolitical pressure – marked by Europe</w:t>
      </w:r>
      <w:r w:rsidR="002D7F99">
        <w:t>’</w:t>
      </w:r>
      <w:r w:rsidRPr="00D03F93">
        <w:t>s weaker productivity growth, geopolitical fragmentation, supply-chain vulnerability, and mounting pressure to enable European companies to compete with US and Asian rivals – in which competition policy must be calibrated to ensure that EU companies can achieve the scale and efficienc</w:t>
      </w:r>
      <w:r w:rsidR="00F82788" w:rsidRPr="00D03F93">
        <w:t>ies</w:t>
      </w:r>
      <w:r w:rsidRPr="00D03F93">
        <w:t xml:space="preserve"> needed to remain competitive at a global level.</w:t>
      </w:r>
    </w:p>
    <w:p w14:paraId="06F3B0D3" w14:textId="0919199B" w:rsidR="002D1B07" w:rsidRPr="00D03F93" w:rsidRDefault="002D1B07" w:rsidP="006340E6">
      <w:pPr>
        <w:pStyle w:val="Style1"/>
        <w:tabs>
          <w:tab w:val="clear" w:pos="360"/>
          <w:tab w:val="num" w:pos="709"/>
        </w:tabs>
      </w:pPr>
      <w:r w:rsidRPr="00D03F93">
        <w:t>The APDC recognises the breadth and ambition of the Draft Guidelines. The document reflects a genuine effort to modernise the Commission</w:t>
      </w:r>
      <w:r w:rsidR="002D7F99">
        <w:t>’</w:t>
      </w:r>
      <w:r w:rsidRPr="00D03F93">
        <w:t xml:space="preserve">s analytical framework by codifying two decades of decisional practice and case law into a more accessible and structured format. The most visible structural change is the replacement of the separate </w:t>
      </w:r>
      <w:r w:rsidR="00F82788" w:rsidRPr="00D03F93">
        <w:t>H</w:t>
      </w:r>
      <w:r w:rsidRPr="00D03F93">
        <w:t xml:space="preserve">orizontal and </w:t>
      </w:r>
      <w:r w:rsidR="00F82788" w:rsidRPr="00D03F93">
        <w:t>N</w:t>
      </w:r>
      <w:r w:rsidRPr="00D03F93">
        <w:t>on-</w:t>
      </w:r>
      <w:r w:rsidR="00F82788" w:rsidRPr="00D03F93">
        <w:t>H</w:t>
      </w:r>
      <w:r w:rsidRPr="00D03F93">
        <w:t xml:space="preserve">orizontal </w:t>
      </w:r>
      <w:r w:rsidR="00F82788" w:rsidRPr="00D03F93">
        <w:t>G</w:t>
      </w:r>
      <w:r w:rsidRPr="00D03F93">
        <w:t xml:space="preserve">uidelines with a single document covering all theories of harm, </w:t>
      </w:r>
      <w:r w:rsidR="00A50D8A" w:rsidRPr="00D03F93">
        <w:t xml:space="preserve">intended to </w:t>
      </w:r>
      <w:r w:rsidRPr="00D03F93">
        <w:t>improve readability and consolidate the Commission</w:t>
      </w:r>
      <w:r w:rsidR="002D7F99">
        <w:t>’</w:t>
      </w:r>
      <w:r w:rsidRPr="00D03F93">
        <w:t xml:space="preserve">s analytical framework into a </w:t>
      </w:r>
      <w:r w:rsidR="005235D9" w:rsidRPr="00D03F93">
        <w:t>streamlined</w:t>
      </w:r>
      <w:r w:rsidRPr="00D03F93">
        <w:t xml:space="preserve"> presentation.</w:t>
      </w:r>
    </w:p>
    <w:p w14:paraId="49475478" w14:textId="5C5D12EA" w:rsidR="00AB4BF2" w:rsidRPr="00D03F93" w:rsidRDefault="00AB4BF2" w:rsidP="006340E6">
      <w:pPr>
        <w:pStyle w:val="Firm1L1"/>
        <w:tabs>
          <w:tab w:val="clear" w:pos="360"/>
          <w:tab w:val="num" w:pos="709"/>
        </w:tabs>
      </w:pPr>
      <w:r w:rsidRPr="00D03F93">
        <w:t xml:space="preserve">The Draft Guidelines also introduce several noteworthy innovations concerning the benefits of mergers. The formal introduction of a </w:t>
      </w:r>
      <w:r w:rsidR="002D7F99">
        <w:t>“</w:t>
      </w:r>
      <w:r w:rsidRPr="00D03F93">
        <w:t>theory of benefit</w:t>
      </w:r>
      <w:r w:rsidR="002D7F99">
        <w:t>”</w:t>
      </w:r>
      <w:r w:rsidRPr="00D03F93">
        <w:t xml:space="preserve"> framework and the elevation of efficiencies from a rarely invoked defence to a more central part of the Commission</w:t>
      </w:r>
      <w:r w:rsidR="002D7F99">
        <w:t>’</w:t>
      </w:r>
      <w:r w:rsidRPr="00D03F93">
        <w:t xml:space="preserve">s analytical framework are welcome developments. The Draft Guidelines now dedicate some fifteen pages to efficiencies – compared with two pages in the existing </w:t>
      </w:r>
      <w:r w:rsidR="00F82788" w:rsidRPr="00D03F93">
        <w:t>G</w:t>
      </w:r>
      <w:r w:rsidRPr="00D03F93">
        <w:t xml:space="preserve">uidelines – and state that demonstrated efficiencies will play a key role in the assessment of mergers going forward. In a significant departure from the current guidelines, the Draft Guidelines also recognise that efficiencies can materialise on a longer timeline, can benefit society at large, or can further the objectives of EU policies </w:t>
      </w:r>
      <w:proofErr w:type="gramStart"/>
      <w:r w:rsidRPr="00D03F93">
        <w:t>recognised</w:t>
      </w:r>
      <w:proofErr w:type="gramEnd"/>
      <w:r w:rsidRPr="00D03F93">
        <w:t xml:space="preserve"> in the Treaties. Additional helpful innovations</w:t>
      </w:r>
      <w:r w:rsidR="0021330D" w:rsidRPr="00D03F93">
        <w:t xml:space="preserve"> also</w:t>
      </w:r>
      <w:r w:rsidRPr="00D03F93">
        <w:t xml:space="preserve"> include the </w:t>
      </w:r>
      <w:r w:rsidR="002D7F99">
        <w:t>“</w:t>
      </w:r>
      <w:r w:rsidRPr="00D03F93">
        <w:t>innovation shield</w:t>
      </w:r>
      <w:r w:rsidR="002D7F99">
        <w:t>”</w:t>
      </w:r>
      <w:r w:rsidRPr="00D03F93">
        <w:t xml:space="preserve">, which provides a safe harbour for acquisitions of small innovative companies. The APDC notes with interest that, if borne out in practice, these developments could </w:t>
      </w:r>
      <w:r w:rsidRPr="00D03F93">
        <w:lastRenderedPageBreak/>
        <w:t>represent a meaningful shift from the historically demanding and rarely successful treatment of efficiency arguments.</w:t>
      </w:r>
    </w:p>
    <w:p w14:paraId="38F7E342" w14:textId="7100FF7C" w:rsidR="002D1B07" w:rsidRPr="00D03F93" w:rsidRDefault="002D1B07" w:rsidP="006340E6">
      <w:pPr>
        <w:pStyle w:val="Style1"/>
        <w:tabs>
          <w:tab w:val="clear" w:pos="360"/>
          <w:tab w:val="num" w:pos="709"/>
        </w:tabs>
      </w:pPr>
      <w:r w:rsidRPr="00D03F93">
        <w:t xml:space="preserve">At the same time, however, </w:t>
      </w:r>
      <w:r w:rsidR="00F133A6">
        <w:t xml:space="preserve">the fact that </w:t>
      </w:r>
      <w:r w:rsidRPr="00D03F93">
        <w:t>the Draft Guidelines have simultaneously expanded and refined the Commission</w:t>
      </w:r>
      <w:r w:rsidR="002D7F99">
        <w:t>’</w:t>
      </w:r>
      <w:r w:rsidRPr="00D03F93">
        <w:t xml:space="preserve">s toolkit to scrutinise mergers warrants careful attention. The catalogue of theories of harm has grown significantly. Theories such as </w:t>
      </w:r>
      <w:r w:rsidRPr="00D03F93">
        <w:rPr>
          <w:i/>
          <w:iCs/>
        </w:rPr>
        <w:t>entrenchment of a dominant position</w:t>
      </w:r>
      <w:r w:rsidRPr="00D03F93">
        <w:t xml:space="preserve">, </w:t>
      </w:r>
      <w:r w:rsidRPr="00D03F93">
        <w:rPr>
          <w:i/>
          <w:iCs/>
        </w:rPr>
        <w:t>loss of investment</w:t>
      </w:r>
      <w:r w:rsidRPr="00D03F93">
        <w:t xml:space="preserve"> and </w:t>
      </w:r>
      <w:r w:rsidRPr="00D03F93">
        <w:rPr>
          <w:i/>
          <w:iCs/>
        </w:rPr>
        <w:t>expansion competition</w:t>
      </w:r>
      <w:r w:rsidRPr="00D03F93">
        <w:t xml:space="preserve">, and </w:t>
      </w:r>
      <w:r w:rsidRPr="00D03F93">
        <w:rPr>
          <w:i/>
          <w:iCs/>
        </w:rPr>
        <w:t>dynamic foreclosure</w:t>
      </w:r>
      <w:r w:rsidRPr="00D03F93">
        <w:t xml:space="preserve"> – which have historically played a more secondary role</w:t>
      </w:r>
      <w:r w:rsidR="00F82788" w:rsidRPr="00D03F93">
        <w:t xml:space="preserve"> or have only been used in isolated cases</w:t>
      </w:r>
      <w:r w:rsidRPr="00D03F93">
        <w:t xml:space="preserve"> – are now elevated to the same conceptual level as the more established unilateral and foreclosure effects theories. Once codified as standard theories of harm, these concepts could become easier for the Commission to invoke, more difficult to dismiss as exceptional, and more likely to appear in requests for information</w:t>
      </w:r>
      <w:r w:rsidR="00EC5D67" w:rsidRPr="00D03F93">
        <w:t xml:space="preserve"> (</w:t>
      </w:r>
      <w:r w:rsidR="002D7F99">
        <w:t>“</w:t>
      </w:r>
      <w:r w:rsidR="00EC5D67" w:rsidRPr="00D03F93">
        <w:rPr>
          <w:b/>
          <w:bCs/>
        </w:rPr>
        <w:t>RFI</w:t>
      </w:r>
      <w:r w:rsidR="002D7F99">
        <w:t>”</w:t>
      </w:r>
      <w:r w:rsidR="00EC5D67" w:rsidRPr="00D03F93">
        <w:t>)</w:t>
      </w:r>
      <w:r w:rsidRPr="00D03F93">
        <w:t xml:space="preserve"> and remedy discussions. Furthermore, the removal of the previous explicit safe harbour for vertical and conglomerate </w:t>
      </w:r>
      <w:r w:rsidR="008F5762" w:rsidRPr="00D03F93">
        <w:t xml:space="preserve">mergers </w:t>
      </w:r>
      <w:r w:rsidRPr="00D03F93">
        <w:t>– the familiar 30% market share – without a clear replacement creates additional uncertainty for transactions that would previously have benefited from a straightforward screening mechanism.</w:t>
      </w:r>
    </w:p>
    <w:p w14:paraId="6D3F0163" w14:textId="7D4CC637" w:rsidR="002D1B07" w:rsidRPr="00D03F93" w:rsidRDefault="002D1B07" w:rsidP="006340E6">
      <w:pPr>
        <w:pStyle w:val="Style1"/>
        <w:tabs>
          <w:tab w:val="clear" w:pos="360"/>
          <w:tab w:val="num" w:pos="709"/>
        </w:tabs>
      </w:pPr>
      <w:r w:rsidRPr="00D03F93">
        <w:t>This dual expansion of the Commission</w:t>
      </w:r>
      <w:r w:rsidR="002D7F99">
        <w:t>’</w:t>
      </w:r>
      <w:r w:rsidRPr="00D03F93">
        <w:t>s toolbox – on both harm</w:t>
      </w:r>
      <w:r w:rsidR="005F090D" w:rsidRPr="00D03F93">
        <w:t>s</w:t>
      </w:r>
      <w:r w:rsidRPr="00D03F93">
        <w:t xml:space="preserve"> caused by, and benefits, of concentrations – raises a fundamental concern about legal certainty and predictability. As the APDC noted in its first submission, there is a strong tension between the ambition displayed through these objectives and the legal means by which the Commission proposes to achieve them. The Draft Guidelines are more open and wide-ranging than their predecessors, but this breadth carries risks. The </w:t>
      </w:r>
      <w:r w:rsidR="00F82788" w:rsidRPr="00D03F93">
        <w:t>G</w:t>
      </w:r>
      <w:r w:rsidRPr="00D03F93">
        <w:t xml:space="preserve">uidelines are notable for their clarity regarding the analytical steps to be followed; by contrast, the new text is more open-textured and may make </w:t>
      </w:r>
      <w:r w:rsidR="003E4A81">
        <w:t xml:space="preserve">the </w:t>
      </w:r>
      <w:r w:rsidRPr="00D03F93">
        <w:t>assess</w:t>
      </w:r>
      <w:r w:rsidR="003E4A81">
        <w:t>ment of</w:t>
      </w:r>
      <w:r w:rsidRPr="00D03F93">
        <w:t xml:space="preserve"> whether a transaction will be cleared more, rather than less, complex. The result is a document that is more balanced in tone but more evidence-intensive, and which increases Commission discretion in several respects without yet establishing how that discretion will be applied consistently and without undue political interference. </w:t>
      </w:r>
      <w:proofErr w:type="gramStart"/>
      <w:r w:rsidRPr="00D03F93">
        <w:t>In particular, while</w:t>
      </w:r>
      <w:proofErr w:type="gramEnd"/>
      <w:r w:rsidRPr="00D03F93">
        <w:t xml:space="preserve"> the Draft Guidelines elevate competitiveness, resilience, and sustainability in their framing, the underlying methodology for translating these concepts into concrete merger outcomes remains </w:t>
      </w:r>
      <w:r w:rsidR="00E41E6B" w:rsidRPr="00D03F93">
        <w:t>unclear</w:t>
      </w:r>
      <w:r w:rsidRPr="00D03F93">
        <w:t xml:space="preserve">, and it remains uncertain how the Commission will quantify, weigh, and verify benefits grounded in non-price parameters. </w:t>
      </w:r>
    </w:p>
    <w:p w14:paraId="1E31957E" w14:textId="2E6783DD" w:rsidR="002D1B07" w:rsidRPr="00D03F93" w:rsidRDefault="002D1B07" w:rsidP="006340E6">
      <w:pPr>
        <w:pStyle w:val="Style1"/>
        <w:tabs>
          <w:tab w:val="clear" w:pos="360"/>
          <w:tab w:val="num" w:pos="851"/>
        </w:tabs>
      </w:pPr>
      <w:r w:rsidRPr="00D03F93">
        <w:t xml:space="preserve">The APDC also reiterates the concern expressed in its first submission that the Draft Guidelines, however ambitious in their substantive reach, remain constrained in their scope. The revision is focused on substantive rules and therefore does not address a structural concern which equally affects the competitiveness of EU companies: the growing complexity and administrative burden of EU merger control. As the APDC noted previously, merger review procedures have become increasingly burdensome, requiring ever more extensive information and longer timelines, which themselves have become less predictable due to the increased use of stop-the-clock mechanisms. The Draft Guidelines cannot, by their nature, remedy these procedural shortcomings. As soft-law instruments, they can refine the interpretation and application of existing legislative rules, but they cannot override or substantially reshape them. Ambitious procedural reforms, including limitations to the duration of the pre-notification period </w:t>
      </w:r>
      <w:r w:rsidRPr="00D03F93">
        <w:lastRenderedPageBreak/>
        <w:t>and to call-in mechanisms, remain necessary to alleviate the burden weighing on the EU economy and to enhance procedural clarity.</w:t>
      </w:r>
    </w:p>
    <w:p w14:paraId="6F40C5E8" w14:textId="2616F259" w:rsidR="002D1B07" w:rsidRPr="00D03F93" w:rsidRDefault="002D1B07" w:rsidP="006340E6">
      <w:pPr>
        <w:pStyle w:val="Style1"/>
        <w:tabs>
          <w:tab w:val="clear" w:pos="360"/>
          <w:tab w:val="num" w:pos="709"/>
        </w:tabs>
      </w:pPr>
      <w:r w:rsidRPr="00D03F93">
        <w:t>Against this background, the APDC urges the Commission to use the consultation process to strengthen the Draft Guidelines</w:t>
      </w:r>
      <w:r w:rsidR="002D7F99">
        <w:t>’</w:t>
      </w:r>
      <w:r w:rsidRPr="00D03F93">
        <w:t xml:space="preserve"> contribution to legal certainty and predictability. </w:t>
      </w:r>
      <w:r w:rsidR="00F82788" w:rsidRPr="00D03F93">
        <w:t>Some</w:t>
      </w:r>
      <w:r w:rsidRPr="00D03F93">
        <w:t xml:space="preserve"> transactions are abandoned not because they are anticompetitive, but because of uncertainty as to whether they will be approved. A framework that expands the Commission</w:t>
      </w:r>
      <w:r w:rsidR="002D7F99">
        <w:t>’</w:t>
      </w:r>
      <w:r w:rsidRPr="00D03F93">
        <w:t>s discretion without providing sufficiently clear and operational standards risks compounding, rather than alleviating, this problem. The Draft Guidelines will shape how the Commission reviews mergers for at least the next decade, and it is therefore essential that the final text</w:t>
      </w:r>
      <w:r w:rsidR="00D7655C" w:rsidRPr="00D03F93">
        <w:t xml:space="preserve"> (</w:t>
      </w:r>
      <w:r w:rsidR="002D7F99">
        <w:t>“</w:t>
      </w:r>
      <w:r w:rsidR="00D7655C" w:rsidRPr="00D03F93">
        <w:rPr>
          <w:b/>
          <w:bCs/>
        </w:rPr>
        <w:t>Final Guidelines</w:t>
      </w:r>
      <w:r w:rsidR="002D7F99">
        <w:t>”</w:t>
      </w:r>
      <w:r w:rsidR="00D7655C" w:rsidRPr="00D03F93">
        <w:t>)</w:t>
      </w:r>
      <w:r w:rsidRPr="00D03F93">
        <w:t xml:space="preserve"> provides practitioners with a framework that is not only ambitious in principle but workable and predictable in application.</w:t>
      </w:r>
      <w:r w:rsidR="0049110B" w:rsidRPr="00D03F93">
        <w:t xml:space="preserve"> </w:t>
      </w:r>
      <w:r w:rsidRPr="00D03F93">
        <w:t>The APDC</w:t>
      </w:r>
      <w:r w:rsidR="002D7F99">
        <w:t>’</w:t>
      </w:r>
      <w:r w:rsidRPr="00D03F93">
        <w:t>s detailed comments on specific sections of the Draft Guidelines, which follow below, are guided by this overarching concern and seek to contribute to the refinement of the Draft Guidelines before their final adoption.</w:t>
      </w:r>
    </w:p>
    <w:p w14:paraId="3A7C9075" w14:textId="595C039E" w:rsidR="00991B91" w:rsidRPr="00D03F93" w:rsidRDefault="00991B91" w:rsidP="006340E6">
      <w:pPr>
        <w:pStyle w:val="Style1"/>
        <w:tabs>
          <w:tab w:val="clear" w:pos="360"/>
          <w:tab w:val="num" w:pos="709"/>
        </w:tabs>
      </w:pPr>
      <w:r w:rsidRPr="00D03F93">
        <w:t xml:space="preserve">Coming now to the questions raised in the </w:t>
      </w:r>
      <w:r w:rsidR="00FA0290" w:rsidRPr="00D03F93">
        <w:t>c</w:t>
      </w:r>
      <w:r w:rsidRPr="00D03F93">
        <w:t>onsultation, our main conclusions, which are further detailed in our specific replies to these questions, are as follows:</w:t>
      </w:r>
    </w:p>
    <w:p w14:paraId="5693A0BA" w14:textId="3208ED54" w:rsidR="00FC56A1" w:rsidRPr="00D03F93" w:rsidRDefault="00FC56A1" w:rsidP="006340E6">
      <w:pPr>
        <w:pStyle w:val="Firm2L1"/>
      </w:pPr>
      <w:r w:rsidRPr="00D03F93">
        <w:t>Guiding Principles</w:t>
      </w:r>
    </w:p>
    <w:p w14:paraId="7889E2B3" w14:textId="609F1674" w:rsidR="00FC56A1" w:rsidRPr="00D03F93" w:rsidRDefault="00FC56A1" w:rsidP="006340E6">
      <w:pPr>
        <w:pStyle w:val="Style1"/>
        <w:tabs>
          <w:tab w:val="clear" w:pos="360"/>
          <w:tab w:val="num" w:pos="709"/>
        </w:tabs>
      </w:pPr>
      <w:r w:rsidRPr="00D03F93">
        <w:rPr>
          <w:b/>
          <w:bCs/>
          <w:i/>
          <w:iCs/>
        </w:rPr>
        <w:t>Evidentiary symmetry</w:t>
      </w:r>
      <w:r w:rsidRPr="00D03F93">
        <w:rPr>
          <w:b/>
          <w:bCs/>
        </w:rPr>
        <w:t>.</w:t>
      </w:r>
      <w:r w:rsidRPr="00D03F93">
        <w:t xml:space="preserve"> While the APDC welcomes the formal alignment of the standard of proof under the </w:t>
      </w:r>
      <w:r w:rsidR="002D7F99">
        <w:t>“</w:t>
      </w:r>
      <w:r w:rsidRPr="00D03F93">
        <w:t>more likely than not</w:t>
      </w:r>
      <w:r w:rsidR="002D7F99">
        <w:t>”</w:t>
      </w:r>
      <w:r w:rsidRPr="00D03F93">
        <w:t xml:space="preserve"> standard for both harm and benefit</w:t>
      </w:r>
      <w:r w:rsidR="00CC490F" w:rsidRPr="00D03F93">
        <w:t>,</w:t>
      </w:r>
      <w:r w:rsidRPr="00D03F93">
        <w:t xml:space="preserve"> it cautions that this symmetry remains largely formal. In practice, the Commission continues to assess anticompetitive effects through a probabilistic approach while subjecting efficiencies to a far more restrictive, quasi-deterministic </w:t>
      </w:r>
      <w:r w:rsidR="002D7F99">
        <w:t>“</w:t>
      </w:r>
      <w:r w:rsidRPr="00D03F93">
        <w:t>demonstrated</w:t>
      </w:r>
      <w:r w:rsidR="002D7F99">
        <w:t>”</w:t>
      </w:r>
      <w:r w:rsidRPr="00D03F93">
        <w:t xml:space="preserve"> standard. The APDC advocates for a functionally symmetric standard where the Commission actively tests and investigates credible efficiency claims during its market investigations.</w:t>
      </w:r>
    </w:p>
    <w:p w14:paraId="5CCAD2C7" w14:textId="566B2E15" w:rsidR="00FC56A1" w:rsidRPr="00D03F93" w:rsidRDefault="00FC56A1" w:rsidP="00FC56A1">
      <w:pPr>
        <w:pStyle w:val="Style1"/>
      </w:pPr>
      <w:r w:rsidRPr="00D03F93">
        <w:rPr>
          <w:b/>
          <w:bCs/>
          <w:i/>
          <w:iCs/>
        </w:rPr>
        <w:t>Counterfactuals and failing firms.</w:t>
      </w:r>
      <w:r w:rsidRPr="00D03F93">
        <w:t xml:space="preserve"> The APDC supports the full integration of the failing firm theory into the counterfactual assessment without restricting it to </w:t>
      </w:r>
      <w:r w:rsidR="002D7F99">
        <w:t>“</w:t>
      </w:r>
      <w:r w:rsidRPr="00D03F93">
        <w:t>exceptional circumstances</w:t>
      </w:r>
      <w:r w:rsidR="002D7F99">
        <w:t>”</w:t>
      </w:r>
      <w:r w:rsidRPr="00D03F93">
        <w:t xml:space="preserve">. However, the APDC urges the Commission to apply this same non-exceptional treatment to the </w:t>
      </w:r>
      <w:r w:rsidR="002D7F99">
        <w:t>“</w:t>
      </w:r>
      <w:r w:rsidRPr="00D03F93">
        <w:t>failing division</w:t>
      </w:r>
      <w:r w:rsidR="002D7F99">
        <w:t>”</w:t>
      </w:r>
      <w:r w:rsidR="003B6479" w:rsidRPr="00D03F93">
        <w:t xml:space="preserve"> </w:t>
      </w:r>
      <w:r w:rsidRPr="00D03F93">
        <w:t xml:space="preserve">theory and to explicitly recognise the </w:t>
      </w:r>
      <w:r w:rsidR="002D7F99">
        <w:t>“</w:t>
      </w:r>
      <w:r w:rsidRPr="00D03F93">
        <w:t>exiting firm</w:t>
      </w:r>
      <w:r w:rsidR="002D7F99">
        <w:t>”</w:t>
      </w:r>
      <w:r w:rsidRPr="00D03F93">
        <w:t xml:space="preserve"> scenario as a valid market-reality counterfactual.</w:t>
      </w:r>
    </w:p>
    <w:p w14:paraId="6C050FE8" w14:textId="313302B0" w:rsidR="00FC56A1" w:rsidRPr="00D03F93" w:rsidRDefault="00FC56A1" w:rsidP="006340E6">
      <w:pPr>
        <w:pStyle w:val="Firm2L1"/>
      </w:pPr>
      <w:r w:rsidRPr="00D03F93">
        <w:t xml:space="preserve">Market Power </w:t>
      </w:r>
    </w:p>
    <w:p w14:paraId="19401B8A" w14:textId="63CE6392" w:rsidR="00FC56A1" w:rsidRPr="00D03F93" w:rsidRDefault="00FC56A1" w:rsidP="00FC56A1">
      <w:pPr>
        <w:pStyle w:val="Style1"/>
      </w:pPr>
      <w:r w:rsidRPr="00D03F93">
        <w:rPr>
          <w:b/>
          <w:bCs/>
          <w:i/>
          <w:iCs/>
        </w:rPr>
        <w:t>Presumption of dominance.</w:t>
      </w:r>
      <w:r w:rsidRPr="00D03F93">
        <w:t> The APDC opposes the shift in wording under para</w:t>
      </w:r>
      <w:r w:rsidR="003B6479" w:rsidRPr="00D03F93">
        <w:t>.</w:t>
      </w:r>
      <w:r w:rsidRPr="00D03F93">
        <w:t xml:space="preserve"> 112, which replaces </w:t>
      </w:r>
      <w:r w:rsidR="002D7F99">
        <w:t>“</w:t>
      </w:r>
      <w:r w:rsidRPr="00F63A87">
        <w:rPr>
          <w:i/>
          <w:iCs/>
        </w:rPr>
        <w:t>may</w:t>
      </w:r>
      <w:r w:rsidR="002D7F99">
        <w:t>”</w:t>
      </w:r>
      <w:r w:rsidR="006E4166" w:rsidRPr="00D03F93">
        <w:t xml:space="preserve"> </w:t>
      </w:r>
      <w:r w:rsidRPr="00D03F93">
        <w:t xml:space="preserve">with </w:t>
      </w:r>
      <w:r w:rsidR="002D7F99">
        <w:t>“</w:t>
      </w:r>
      <w:r w:rsidRPr="00F63A87">
        <w:rPr>
          <w:i/>
          <w:iCs/>
        </w:rPr>
        <w:t>are</w:t>
      </w:r>
      <w:r w:rsidR="002D7F99">
        <w:t>”</w:t>
      </w:r>
      <w:r w:rsidRPr="00D03F93">
        <w:t xml:space="preserve"> suggest</w:t>
      </w:r>
      <w:r w:rsidR="00B361E9">
        <w:t>ing</w:t>
      </w:r>
      <w:r w:rsidRPr="00D03F93">
        <w:t xml:space="preserve"> that a market share above 50% automatically establishes a dominant position. This creates </w:t>
      </w:r>
      <w:r w:rsidR="00817D9E" w:rsidRPr="00D03F93">
        <w:t xml:space="preserve">a </w:t>
      </w:r>
      <w:r w:rsidRPr="00D03F93">
        <w:t xml:space="preserve">presumption of dominance that departs from qualitative market realities. Dominance must always be assessed holistically, </w:t>
      </w:r>
      <w:proofErr w:type="gramStart"/>
      <w:r w:rsidRPr="00D03F93">
        <w:t>taking into account</w:t>
      </w:r>
      <w:proofErr w:type="gramEnd"/>
      <w:r w:rsidRPr="00D03F93">
        <w:t xml:space="preserve"> barriers to entry, dynamic developments, and buyer power.</w:t>
      </w:r>
    </w:p>
    <w:p w14:paraId="277D2D84" w14:textId="06383066" w:rsidR="00496B49" w:rsidRPr="006340E6" w:rsidRDefault="00FC56A1" w:rsidP="006340E6">
      <w:pPr>
        <w:pStyle w:val="Style1"/>
        <w:rPr>
          <w:u w:val="single"/>
        </w:rPr>
      </w:pPr>
      <w:r w:rsidRPr="00D03F93">
        <w:rPr>
          <w:b/>
          <w:bCs/>
        </w:rPr>
        <w:t>Safe harbours and indicators.</w:t>
      </w:r>
      <w:r w:rsidRPr="00D03F93">
        <w:t xml:space="preserve"> The APDC regrets the removal of the 30% safe harbour for vertical and conglomerate concentrations and calls for the </w:t>
      </w:r>
      <w:r w:rsidR="00E40932">
        <w:t>(</w:t>
      </w:r>
      <w:r w:rsidRPr="00D03F93">
        <w:t>re</w:t>
      </w:r>
      <w:r w:rsidR="00E40932">
        <w:t>)</w:t>
      </w:r>
      <w:r w:rsidRPr="00D03F93">
        <w:t>introduction of explicit, soft safe harbours based on market shares (</w:t>
      </w:r>
      <w:r w:rsidR="00E40932">
        <w:t>both for vertical/conglomerate mergers but also for horizontal mergers</w:t>
      </w:r>
      <w:r w:rsidRPr="00D03F93">
        <w:t xml:space="preserve">) and HHI concentration measures to preserve </w:t>
      </w:r>
      <w:r w:rsidRPr="00D03F93">
        <w:lastRenderedPageBreak/>
        <w:t xml:space="preserve">legal certainty. Furthermore, qualitative indicators like profit margins and </w:t>
      </w:r>
      <w:r w:rsidR="00D75DA9" w:rsidRPr="00D03F93">
        <w:t>low-price</w:t>
      </w:r>
      <w:r w:rsidRPr="00D03F93">
        <w:t xml:space="preserve"> sensitivity should only serve as contextual, corroborated elements</w:t>
      </w:r>
      <w:r w:rsidR="00F82788" w:rsidRPr="00D03F93">
        <w:t>,</w:t>
      </w:r>
      <w:r w:rsidRPr="00D03F93">
        <w:t xml:space="preserve"> </w:t>
      </w:r>
      <w:r w:rsidR="00F82788" w:rsidRPr="00D03F93">
        <w:t xml:space="preserve">not as </w:t>
      </w:r>
      <w:r w:rsidRPr="00D03F93">
        <w:t>standalone evidence of market power.</w:t>
      </w:r>
    </w:p>
    <w:p w14:paraId="37281FC2" w14:textId="0BE9E830" w:rsidR="00FC56A1" w:rsidRPr="00D03F93" w:rsidRDefault="00D75DA9" w:rsidP="006340E6">
      <w:pPr>
        <w:pStyle w:val="Firm2L1"/>
      </w:pPr>
      <w:r w:rsidRPr="00D03F93">
        <w:t>Anticompetitive effects</w:t>
      </w:r>
      <w:r w:rsidR="00FC56A1" w:rsidRPr="00D03F93">
        <w:t xml:space="preserve"> </w:t>
      </w:r>
    </w:p>
    <w:p w14:paraId="1957292D" w14:textId="562AA9E5" w:rsidR="00FC56A1" w:rsidRPr="00D03F93" w:rsidRDefault="00FC56A1" w:rsidP="00FC56A1">
      <w:pPr>
        <w:pStyle w:val="Style1"/>
      </w:pPr>
      <w:r w:rsidRPr="00D03F93">
        <w:rPr>
          <w:b/>
          <w:bCs/>
        </w:rPr>
        <w:t>Two-sided dynamic potential.</w:t>
      </w:r>
      <w:r w:rsidRPr="00D03F93">
        <w:t xml:space="preserve"> The APDC welcomes the </w:t>
      </w:r>
      <w:r w:rsidR="002D7F99">
        <w:t>“</w:t>
      </w:r>
      <w:r w:rsidRPr="00D03F93">
        <w:t>dynamic competitive potential</w:t>
      </w:r>
      <w:r w:rsidR="002D7F99">
        <w:t>”</w:t>
      </w:r>
      <w:r w:rsidR="00895FA3" w:rsidRPr="00D03F93">
        <w:t xml:space="preserve"> </w:t>
      </w:r>
      <w:r w:rsidRPr="00D03F93">
        <w:t>framework but insists it must be symmetric. It should not only act as a tool to challenge mergers involving low static shares but also as a shield for firms with high market shares but declining capabilities. High purchase valuations or the mere possession of an ecosystem should not be treated as automatic indicators of market power.</w:t>
      </w:r>
    </w:p>
    <w:p w14:paraId="3FD352B4" w14:textId="30198C89" w:rsidR="00FC56A1" w:rsidRPr="00D03F93" w:rsidRDefault="00FC56A1" w:rsidP="00FC56A1">
      <w:pPr>
        <w:pStyle w:val="Style1"/>
      </w:pPr>
      <w:r w:rsidRPr="00D03F93">
        <w:rPr>
          <w:b/>
          <w:bCs/>
        </w:rPr>
        <w:t>Innovation shield and emerging theories.</w:t>
      </w:r>
      <w:r w:rsidRPr="00D03F93">
        <w:t xml:space="preserve"> The proposed </w:t>
      </w:r>
      <w:r w:rsidR="002D7F99">
        <w:t>“</w:t>
      </w:r>
      <w:r w:rsidRPr="00D03F93">
        <w:t>innovation shield</w:t>
      </w:r>
      <w:r w:rsidR="002D7F99">
        <w:t>”</w:t>
      </w:r>
      <w:r w:rsidRPr="00D03F93">
        <w:t xml:space="preserve"> is a positive development but is currently too narrow and structurally unworkable. The APDC recommends defining</w:t>
      </w:r>
      <w:r w:rsidR="00895FA3" w:rsidRPr="00D03F93">
        <w:t xml:space="preserve"> </w:t>
      </w:r>
      <w:r w:rsidR="002D7F99">
        <w:t>“</w:t>
      </w:r>
      <w:r w:rsidRPr="00D03F93">
        <w:t>small innovative companies</w:t>
      </w:r>
      <w:r w:rsidR="002D7F99">
        <w:t>”</w:t>
      </w:r>
      <w:r w:rsidRPr="00D03F93">
        <w:t xml:space="preserve">, relaxing project-overlap criteria in concentrated sectors, and removing the binary exclusion of market leaders. Regarding newer theories of harm, </w:t>
      </w:r>
      <w:r w:rsidR="002D7F99">
        <w:t>“</w:t>
      </w:r>
      <w:r w:rsidRPr="00D03F93">
        <w:t>entrenchment</w:t>
      </w:r>
      <w:r w:rsidR="002D7F99">
        <w:t>”</w:t>
      </w:r>
      <w:r w:rsidRPr="00D03F93">
        <w:t xml:space="preserve"> must remain strictly anchored in standard Article 102 TFEU principles of indispensability, and standalone labour market interventions should be rejected unless directly linked to downstream consumer harm.</w:t>
      </w:r>
    </w:p>
    <w:p w14:paraId="29189570" w14:textId="09B2EA53" w:rsidR="00FC56A1" w:rsidRPr="00D03F93" w:rsidRDefault="00FC56A1" w:rsidP="006340E6">
      <w:pPr>
        <w:pStyle w:val="Firm2L1"/>
      </w:pPr>
      <w:r w:rsidRPr="00D03F93">
        <w:t>Efficiencies</w:t>
      </w:r>
    </w:p>
    <w:p w14:paraId="2F29BF8F" w14:textId="7E934D98" w:rsidR="00FC56A1" w:rsidRPr="00D03F93" w:rsidRDefault="00FC56A1" w:rsidP="00FC56A1">
      <w:pPr>
        <w:pStyle w:val="Style1"/>
      </w:pPr>
      <w:r w:rsidRPr="00D03F93">
        <w:rPr>
          <w:b/>
          <w:bCs/>
        </w:rPr>
        <w:t>Merger specificity double standard.</w:t>
      </w:r>
      <w:r w:rsidRPr="00D03F93">
        <w:t xml:space="preserve"> The APDC strongly disagrees with the second part of the merger-specificity test requiring proof that efficiencies could not be achieved by </w:t>
      </w:r>
      <w:r w:rsidR="002D7F99">
        <w:t>“</w:t>
      </w:r>
      <w:r w:rsidRPr="00D03F93">
        <w:t>less anticompetitive arrangements</w:t>
      </w:r>
      <w:r w:rsidR="002D7F99">
        <w:t>”</w:t>
      </w:r>
      <w:r w:rsidR="00895FA3" w:rsidRPr="00D03F93">
        <w:t>.</w:t>
      </w:r>
      <w:r w:rsidRPr="00D03F93">
        <w:t xml:space="preserve"> Requiring parties to disprove hypothetical, highly speculative alternative transactions </w:t>
      </w:r>
      <w:proofErr w:type="gramStart"/>
      <w:r w:rsidRPr="00D03F93">
        <w:t>imposes</w:t>
      </w:r>
      <w:proofErr w:type="gramEnd"/>
      <w:r w:rsidRPr="00D03F93">
        <w:t xml:space="preserve"> a double standard, as anticompetitive harms are never assessed against alternative structural arrangements. The test should be confined to what is reasonably practical based on realistic commercial incentives.</w:t>
      </w:r>
    </w:p>
    <w:p w14:paraId="6FA68A91" w14:textId="64724E4B" w:rsidR="00FC56A1" w:rsidRPr="00D03F93" w:rsidRDefault="00FC56A1" w:rsidP="00FC56A1">
      <w:pPr>
        <w:pStyle w:val="Style1"/>
      </w:pPr>
      <w:r w:rsidRPr="00D03F93">
        <w:rPr>
          <w:b/>
          <w:bCs/>
        </w:rPr>
        <w:t>Symmetric timelines and consumer benefit.</w:t>
      </w:r>
      <w:r w:rsidRPr="00D03F93">
        <w:t xml:space="preserve"> The APDC commends the absence of a fixed temporal ceiling for efficiencies but urges that the </w:t>
      </w:r>
      <w:r w:rsidR="00BD378F" w:rsidRPr="00D03F93">
        <w:t>three</w:t>
      </w:r>
      <w:r w:rsidRPr="00D03F93">
        <w:t>-to-</w:t>
      </w:r>
      <w:r w:rsidR="00BD378F" w:rsidRPr="00D03F93">
        <w:t>four</w:t>
      </w:r>
      <w:r w:rsidRPr="00D03F93">
        <w:t xml:space="preserve">-year reference in the footnotes </w:t>
      </w:r>
      <w:proofErr w:type="gramStart"/>
      <w:r w:rsidRPr="00D03F93">
        <w:t>not</w:t>
      </w:r>
      <w:r w:rsidR="003E4A81">
        <w:t xml:space="preserve"> be</w:t>
      </w:r>
      <w:proofErr w:type="gramEnd"/>
      <w:r w:rsidRPr="00D03F93">
        <w:t xml:space="preserve"> interpreted as an implicit cap for long-term dynamic efficiencies. Furthermore, the consumer benefit framework should be broadened to recognize out-of-market, environmental, and systemic resilience benefits even when direct consumers are not immediately willing to pay a premium.</w:t>
      </w:r>
    </w:p>
    <w:p w14:paraId="631ED0AA" w14:textId="43A714FF" w:rsidR="00FC56A1" w:rsidRPr="00D03F93" w:rsidRDefault="00FF53C0" w:rsidP="006340E6">
      <w:pPr>
        <w:pStyle w:val="Firm2L1"/>
      </w:pPr>
      <w:r w:rsidRPr="00D03F93">
        <w:t>P</w:t>
      </w:r>
      <w:r w:rsidR="00FC56A1" w:rsidRPr="00D03F93">
        <w:t xml:space="preserve">rotection of Legitimate Interests </w:t>
      </w:r>
    </w:p>
    <w:p w14:paraId="3037EA7E" w14:textId="32CA766D" w:rsidR="00FC56A1" w:rsidRPr="00D03F93" w:rsidRDefault="00FC56A1" w:rsidP="00D7655C">
      <w:pPr>
        <w:pStyle w:val="Style1"/>
      </w:pPr>
      <w:r w:rsidRPr="00D03F93">
        <w:rPr>
          <w:b/>
          <w:bCs/>
          <w:i/>
          <w:iCs/>
        </w:rPr>
        <w:t>Public security and EU investors.</w:t>
      </w:r>
      <w:r w:rsidRPr="00D03F93">
        <w:t xml:space="preserve"> The APDC notes that the broad interpretation of public security in Member State FDI regimes risks exempting too many measures from prior notification. The </w:t>
      </w:r>
      <w:r w:rsidR="00D7655C" w:rsidRPr="00D03F93">
        <w:t>Final Guidelines</w:t>
      </w:r>
      <w:r w:rsidR="00D7655C" w:rsidRPr="00D03F93" w:rsidDel="00D7655C">
        <w:t xml:space="preserve"> </w:t>
      </w:r>
      <w:r w:rsidRPr="00D03F93">
        <w:t xml:space="preserve">must clarify the substantiation and review standards of FDI measures targeting EU investors and align national </w:t>
      </w:r>
      <w:r w:rsidR="002D7F99">
        <w:t>“</w:t>
      </w:r>
      <w:r w:rsidRPr="00D03F93">
        <w:t>public order</w:t>
      </w:r>
      <w:r w:rsidR="002D7F99">
        <w:t>”</w:t>
      </w:r>
      <w:r w:rsidR="003B6479" w:rsidRPr="00D03F93">
        <w:t xml:space="preserve"> </w:t>
      </w:r>
      <w:r w:rsidRPr="00D03F93">
        <w:t>measures with the EUMR.</w:t>
      </w:r>
    </w:p>
    <w:p w14:paraId="410215D8" w14:textId="5143D00E" w:rsidR="007D20BB" w:rsidRDefault="00FC56A1" w:rsidP="006340E6">
      <w:pPr>
        <w:pStyle w:val="Style1"/>
        <w:keepLines/>
      </w:pPr>
      <w:r w:rsidRPr="00D03F93">
        <w:rPr>
          <w:b/>
          <w:bCs/>
          <w:i/>
          <w:iCs/>
        </w:rPr>
        <w:lastRenderedPageBreak/>
        <w:t>Procedural rights of merging parties.</w:t>
      </w:r>
      <w:r w:rsidRPr="00D03F93">
        <w:t xml:space="preserve"> The APDC emphasizes that the current procedural framework is drafted primarily as a bilateral dialogue between the Commission and Member States. The </w:t>
      </w:r>
      <w:r w:rsidR="00D7655C" w:rsidRPr="00D03F93">
        <w:t>Final Guidelines</w:t>
      </w:r>
      <w:r w:rsidR="00D7655C" w:rsidRPr="00D03F93" w:rsidDel="00D7655C">
        <w:t xml:space="preserve"> </w:t>
      </w:r>
      <w:r w:rsidRPr="00D03F93">
        <w:t>must secure the procedural rights of merging parties by ensuring they can submit observations, access non-confidential information, and challenge decisions under Article 21.</w:t>
      </w:r>
    </w:p>
    <w:p w14:paraId="4B77EABB" w14:textId="77777777" w:rsidR="006340E6" w:rsidRPr="00D03F93" w:rsidRDefault="006340E6" w:rsidP="000C54E3">
      <w:pPr>
        <w:pStyle w:val="Style1"/>
        <w:keepLines/>
        <w:numPr>
          <w:ilvl w:val="0"/>
          <w:numId w:val="0"/>
        </w:numPr>
      </w:pPr>
    </w:p>
    <w:p w14:paraId="080CD8DD" w14:textId="3191906A" w:rsidR="00391839" w:rsidRPr="00D03F93" w:rsidRDefault="00391839" w:rsidP="006340E6">
      <w:pPr>
        <w:pStyle w:val="Firm5L1"/>
      </w:pPr>
      <w:r w:rsidRPr="00D03F93">
        <w:t>GUIDING PRINCIPLES</w:t>
      </w:r>
    </w:p>
    <w:p w14:paraId="2E3B6E11" w14:textId="16E1D041" w:rsidR="004C0599" w:rsidRPr="00D03F93" w:rsidRDefault="00181469" w:rsidP="00181469">
      <w:pPr>
        <w:pStyle w:val="Style1"/>
      </w:pPr>
      <w:r w:rsidRPr="00D03F93">
        <w:t>The following analysis outlines the APDC</w:t>
      </w:r>
      <w:r w:rsidR="002D7F99">
        <w:t>’</w:t>
      </w:r>
      <w:r w:rsidRPr="00D03F93">
        <w:t>s observations on the</w:t>
      </w:r>
      <w:r w:rsidR="00F5336F" w:rsidRPr="00D03F93">
        <w:t xml:space="preserve"> </w:t>
      </w:r>
      <w:r w:rsidRPr="00D03F93">
        <w:t xml:space="preserve">guiding principles </w:t>
      </w:r>
      <w:r w:rsidR="00E668D2" w:rsidRPr="00D03F93">
        <w:t xml:space="preserve">section </w:t>
      </w:r>
      <w:r w:rsidRPr="00D03F93">
        <w:t xml:space="preserve">of the Draft Guidelines, focusing specifically on three key areas: </w:t>
      </w:r>
      <w:r w:rsidR="00266E1A" w:rsidRPr="00D03F93">
        <w:t xml:space="preserve">(1) </w:t>
      </w:r>
      <w:r w:rsidRPr="00D03F93">
        <w:t xml:space="preserve">the parameters of competition, </w:t>
      </w:r>
      <w:r w:rsidR="00266E1A" w:rsidRPr="00D03F93">
        <w:t xml:space="preserve">(2) </w:t>
      </w:r>
      <w:r w:rsidRPr="00D03F93">
        <w:t xml:space="preserve">the burden of proof, and </w:t>
      </w:r>
      <w:r w:rsidR="00266E1A" w:rsidRPr="00D03F93">
        <w:t xml:space="preserve">(3) </w:t>
      </w:r>
      <w:r w:rsidRPr="00D03F93">
        <w:t>the causality between the transaction and its competitive effects.</w:t>
      </w:r>
    </w:p>
    <w:p w14:paraId="32F655C6" w14:textId="301B55C3" w:rsidR="00AF6720" w:rsidRPr="00D03F93" w:rsidRDefault="00391839" w:rsidP="006340E6">
      <w:pPr>
        <w:pStyle w:val="Firm5L2"/>
      </w:pPr>
      <w:r w:rsidRPr="00D03F93">
        <w:t>Parameters of competition</w:t>
      </w:r>
    </w:p>
    <w:p w14:paraId="2E0A9E71" w14:textId="70EFC361" w:rsidR="00265521" w:rsidRPr="00D03F93" w:rsidRDefault="00AF6720" w:rsidP="00265521">
      <w:pPr>
        <w:pStyle w:val="Style1"/>
      </w:pPr>
      <w:r w:rsidRPr="00D03F93">
        <w:t>Para</w:t>
      </w:r>
      <w:r w:rsidR="0076721E" w:rsidRPr="00D03F93">
        <w:t>.</w:t>
      </w:r>
      <w:r w:rsidRPr="00D03F93">
        <w:t xml:space="preserve"> 20 of the Draft Guidelines is a real novelty in that it sets out a non-exhaustive list of non-price competition parameters that may be taken into account by the Commission for its competitive analysis of the transaction, subject to their being key parameters of competition in the market, in addition to, or in contrast with, price parameters. The non-exhaustive character of the list offers flexibility in the sense that additional factors could become key parameters of competition in a market in the future. </w:t>
      </w:r>
    </w:p>
    <w:p w14:paraId="0DB63C29" w14:textId="6B8C4A08" w:rsidR="00265521" w:rsidRPr="00D03F93" w:rsidRDefault="00AF6720" w:rsidP="00265521">
      <w:pPr>
        <w:pStyle w:val="Style1"/>
        <w:rPr>
          <w:u w:val="single"/>
        </w:rPr>
      </w:pPr>
      <w:r w:rsidRPr="00D03F93">
        <w:rPr>
          <w:szCs w:val="24"/>
        </w:rPr>
        <w:t>There is also flexibility in the Commission</w:t>
      </w:r>
      <w:r w:rsidR="002D7F99">
        <w:rPr>
          <w:szCs w:val="24"/>
        </w:rPr>
        <w:t>’</w:t>
      </w:r>
      <w:r w:rsidRPr="00D03F93">
        <w:rPr>
          <w:szCs w:val="24"/>
        </w:rPr>
        <w:t>s assessment as the Commission awards itself a margin of discretion in weighing the price and non-price parameters in the analysis of a transaction</w:t>
      </w:r>
      <w:r w:rsidR="002D7F99">
        <w:rPr>
          <w:szCs w:val="24"/>
        </w:rPr>
        <w:t>’</w:t>
      </w:r>
      <w:r w:rsidRPr="00D03F93">
        <w:rPr>
          <w:szCs w:val="24"/>
        </w:rPr>
        <w:t>s impact.</w:t>
      </w:r>
    </w:p>
    <w:p w14:paraId="5ADAED76" w14:textId="1672DFB1" w:rsidR="00AB4BF2" w:rsidRPr="00D03F93" w:rsidRDefault="00AB4BF2" w:rsidP="00AB4BF2">
      <w:pPr>
        <w:pStyle w:val="Firm1L1"/>
        <w:rPr>
          <w:u w:val="single"/>
        </w:rPr>
      </w:pPr>
      <w:r w:rsidRPr="00D03F93">
        <w:t xml:space="preserve">Some of the non-price parameters of competition were already included in the previous guidelines on the assessment of horizontal mergers (the </w:t>
      </w:r>
      <w:r w:rsidR="002D7F99">
        <w:t>“</w:t>
      </w:r>
      <w:r w:rsidRPr="00D03F93">
        <w:rPr>
          <w:b/>
          <w:bCs/>
        </w:rPr>
        <w:t>Horizontal Guidelines</w:t>
      </w:r>
      <w:r w:rsidR="002D7F99">
        <w:t>”</w:t>
      </w:r>
      <w:r w:rsidRPr="00D03F93">
        <w:t xml:space="preserve">) and the guidelines on the assessment of non-horizontal mergers (the </w:t>
      </w:r>
      <w:r w:rsidR="002D7F99">
        <w:t>“</w:t>
      </w:r>
      <w:r w:rsidRPr="00D03F93">
        <w:rPr>
          <w:b/>
          <w:bCs/>
        </w:rPr>
        <w:t>Non-Horizontal Merger Guidelines</w:t>
      </w:r>
      <w:r w:rsidR="002D7F99">
        <w:t>”</w:t>
      </w:r>
      <w:r w:rsidRPr="00D03F93">
        <w:t>) (e.g., output and quality, capacity, investment), while others reflect the Commission</w:t>
      </w:r>
      <w:r w:rsidR="002D7F99">
        <w:t>’</w:t>
      </w:r>
      <w:r w:rsidRPr="00D03F93">
        <w:t>s recent decisional practice. The APDC welcomes the inclusion of useful references to such decisions in footnotes. Examining these references in detail, the APDC has the following comments:</w:t>
      </w:r>
    </w:p>
    <w:p w14:paraId="3889B3EB" w14:textId="30F13F5A" w:rsidR="00AF6720" w:rsidRPr="00D03F93" w:rsidRDefault="00AF6720" w:rsidP="006340E6">
      <w:pPr>
        <w:pStyle w:val="BulletsL2"/>
      </w:pPr>
      <w:r w:rsidRPr="00D03F93">
        <w:t>Choice: the reference to paras</w:t>
      </w:r>
      <w:r w:rsidR="006111D1" w:rsidRPr="00D03F93">
        <w:t>.</w:t>
      </w:r>
      <w:r w:rsidRPr="00D03F93">
        <w:t xml:space="preserve"> 1024 et seq. of case M.10433 – </w:t>
      </w:r>
      <w:r w:rsidRPr="00D03F93">
        <w:rPr>
          <w:i/>
          <w:iCs/>
        </w:rPr>
        <w:t>Vivendi/Lagardere</w:t>
      </w:r>
      <w:r w:rsidRPr="00D03F93">
        <w:t xml:space="preserve"> in footnote 30 does not seem relevant and the Commission may want to consider removing it.</w:t>
      </w:r>
    </w:p>
    <w:p w14:paraId="15C82241" w14:textId="77777777" w:rsidR="00AF6720" w:rsidRPr="00D03F93" w:rsidRDefault="00AF6720" w:rsidP="006340E6">
      <w:pPr>
        <w:pStyle w:val="BulletsL2"/>
      </w:pPr>
      <w:r w:rsidRPr="00D03F93">
        <w:t xml:space="preserve">Resilience/security of supply: the reference to the </w:t>
      </w:r>
      <w:r w:rsidRPr="00D03F93">
        <w:rPr>
          <w:i/>
          <w:iCs/>
        </w:rPr>
        <w:t>Ball/Rexam</w:t>
      </w:r>
      <w:r w:rsidRPr="00D03F93">
        <w:t xml:space="preserve"> case in footnote 34 is incorrect. Correct case number is M.7567 (and not M.7967).</w:t>
      </w:r>
    </w:p>
    <w:p w14:paraId="4D4A9DC1" w14:textId="1A5EC49D" w:rsidR="00391839" w:rsidRPr="00D03F93" w:rsidRDefault="00391839" w:rsidP="006340E6">
      <w:pPr>
        <w:pStyle w:val="Firm5L2"/>
        <w:keepLines/>
      </w:pPr>
      <w:r w:rsidRPr="00D03F93">
        <w:t>Burden of proof, theories of harm and benefit</w:t>
      </w:r>
    </w:p>
    <w:p w14:paraId="4C525DEC" w14:textId="53DD89D6" w:rsidR="00265521" w:rsidRPr="00D03F93" w:rsidRDefault="00265521" w:rsidP="006340E6">
      <w:pPr>
        <w:pStyle w:val="Style1"/>
        <w:keepLines/>
      </w:pPr>
      <w:r w:rsidRPr="00D03F93">
        <w:t xml:space="preserve">The APDC welcomes the clarification in the Draft Guidelines that both theories of harm and theories of benefit are to be assessed under the same standard of proof, namely the </w:t>
      </w:r>
      <w:r w:rsidR="002D7F99">
        <w:t>“</w:t>
      </w:r>
      <w:r w:rsidRPr="00D03F93">
        <w:rPr>
          <w:i/>
          <w:iCs/>
        </w:rPr>
        <w:t>more likely than not</w:t>
      </w:r>
      <w:r w:rsidR="002D7F99">
        <w:t>”</w:t>
      </w:r>
      <w:r w:rsidRPr="00D03F93">
        <w:t xml:space="preserve"> standard. This represents an important step towards a more coherent analytical framework and responds, at least formally, to longstanding concerns regarding the asymmetry in the assessment of harm and efficiencies.</w:t>
      </w:r>
    </w:p>
    <w:p w14:paraId="44A5DC3C" w14:textId="0A432E76" w:rsidR="00265521" w:rsidRPr="00D03F93" w:rsidRDefault="00265521" w:rsidP="008A151F">
      <w:pPr>
        <w:pStyle w:val="Style1"/>
      </w:pPr>
      <w:r w:rsidRPr="00D03F93">
        <w:lastRenderedPageBreak/>
        <w:t xml:space="preserve">However, as further developed in the section on efficiencies, the APDC considers that this symmetry remains largely formal and is not reflected in the practical application of the evidentiary framework. </w:t>
      </w:r>
      <w:proofErr w:type="gramStart"/>
      <w:r w:rsidRPr="00D03F93">
        <w:t>In particular, while</w:t>
      </w:r>
      <w:proofErr w:type="gramEnd"/>
      <w:r w:rsidRPr="00D03F93">
        <w:t xml:space="preserve"> theories of harm are assessed through a forward-looking and inherently probabilistic analysis, relying on a broad and flexible body of evidence, efficiencies are subject to more demanding evidentiary requirements. The Draft Guidelines emphasize that efficiencies must be </w:t>
      </w:r>
      <w:r w:rsidR="002D7F99">
        <w:t>“</w:t>
      </w:r>
      <w:r w:rsidRPr="00D03F93">
        <w:t>demonstrated</w:t>
      </w:r>
      <w:r w:rsidR="002D7F99">
        <w:t>”</w:t>
      </w:r>
      <w:r w:rsidRPr="00D03F93">
        <w:t xml:space="preserve">, suggesting a more restrictive and potentially quasi-deterministic standard. This creates a risk that, in practice, anticompetitive effects may be established </w:t>
      </w:r>
      <w:proofErr w:type="gramStart"/>
      <w:r w:rsidRPr="00D03F93">
        <w:t>on the basis of</w:t>
      </w:r>
      <w:proofErr w:type="gramEnd"/>
      <w:r w:rsidRPr="00D03F93">
        <w:t xml:space="preserve"> probabilistic reasoning, while efficiencies are required to meet a higher evidentiary threshold.</w:t>
      </w:r>
    </w:p>
    <w:p w14:paraId="2DD4F3B1" w14:textId="11FAE396" w:rsidR="00265521" w:rsidRPr="00D03F93" w:rsidRDefault="00265521" w:rsidP="008A151F">
      <w:pPr>
        <w:pStyle w:val="Style1"/>
      </w:pPr>
      <w:r w:rsidRPr="00D03F93">
        <w:t xml:space="preserve">This imbalance is reinforced by the allocation of the burden of proof, which rests entirely on the notifying parties concerning efficiencies. The Draft Guidelines do not provide for any obligation for the Commission to test plausible efficiencies claims in its market investigation once they have been credibly put forward by the notifying parties. This reinforces the asymmetry in the treatment of harm and efficiencies and may limit the practical impact of the </w:t>
      </w:r>
      <w:r w:rsidR="002D7F99">
        <w:t>“</w:t>
      </w:r>
      <w:r w:rsidRPr="00D03F93">
        <w:t>theory of benefit</w:t>
      </w:r>
      <w:r w:rsidR="002D7F99">
        <w:t>”</w:t>
      </w:r>
      <w:r w:rsidRPr="00D03F93">
        <w:t xml:space="preserve"> introduced by the Commission. As developed in the section on efficiencies, the APDC considers that the Commission should assume a more active role and bear part of the evidentiary burden once efficiencies have been credibly identified by the notifying parties. Such an approach would not alter the legal </w:t>
      </w:r>
      <w:proofErr w:type="gramStart"/>
      <w:r w:rsidRPr="00D03F93">
        <w:t>framework, but</w:t>
      </w:r>
      <w:proofErr w:type="gramEnd"/>
      <w:r w:rsidRPr="00D03F93">
        <w:t xml:space="preserve"> would ensure a more balanced and effective application of the standard of proof in practice. Absent such rebalancing, efficiencies are likely to remain difficult to invoke and of limited practical relevance in merger control.</w:t>
      </w:r>
    </w:p>
    <w:p w14:paraId="4C68B93B" w14:textId="6946268A" w:rsidR="00265521" w:rsidRPr="00D03F93" w:rsidRDefault="00265521" w:rsidP="008A151F">
      <w:pPr>
        <w:pStyle w:val="Style1"/>
      </w:pPr>
      <w:r w:rsidRPr="00D03F93">
        <w:t xml:space="preserve">More generally, the Draft Guidelines do not appear to provide sufficiently operational guidance on how evidence should be assessed and weighed. Concepts such as </w:t>
      </w:r>
      <w:r w:rsidR="002D7F99">
        <w:t>“</w:t>
      </w:r>
      <w:r w:rsidRPr="00D03F93">
        <w:rPr>
          <w:i/>
          <w:iCs/>
        </w:rPr>
        <w:t>cogent and consistent evidence</w:t>
      </w:r>
      <w:r w:rsidR="002D7F99">
        <w:t>”</w:t>
      </w:r>
      <w:r w:rsidRPr="00D03F93">
        <w:t xml:space="preserve"> are not defined in a manner that offers clear benchmarks for notifying parties, nor do the Guidelines explain how different types of evidence should be balanced or how uncertainty should be addressed in practice. This increases the degree of discretion in the Commission</w:t>
      </w:r>
      <w:r w:rsidR="002D7F99">
        <w:t>’</w:t>
      </w:r>
      <w:r w:rsidRPr="00D03F93">
        <w:t xml:space="preserve">s assessment and reduces predictability for parties. This uncertainty is further reinforced by the statement that </w:t>
      </w:r>
      <w:r w:rsidR="002D7F99">
        <w:t>“</w:t>
      </w:r>
      <w:r w:rsidRPr="00D03F93">
        <w:t>[t]</w:t>
      </w:r>
      <w:r w:rsidRPr="00D03F93">
        <w:rPr>
          <w:i/>
          <w:iCs/>
        </w:rPr>
        <w:t>he Commission decides on a case-by-case basis and is not bound by findings made in a previous case, even where the markets concerned are similar or identical</w:t>
      </w:r>
      <w:r w:rsidR="002D7F99">
        <w:t>”</w:t>
      </w:r>
      <w:r w:rsidRPr="00D03F93">
        <w:t>, which underscores the limited ability of notifying parties to rely on prior practice when assessing their transactions.</w:t>
      </w:r>
    </w:p>
    <w:p w14:paraId="00773852" w14:textId="496F3635" w:rsidR="00265521" w:rsidRPr="00D03F93" w:rsidRDefault="00265521" w:rsidP="006464FF">
      <w:pPr>
        <w:pStyle w:val="Style1"/>
      </w:pPr>
      <w:r w:rsidRPr="00D03F93">
        <w:t xml:space="preserve">Finally, the APDC notes that the Draft Guidelines do not sufficiently address the assessment of efficiencies that are inherently uncertain, long-term or difficult to quantify, </w:t>
      </w:r>
      <w:proofErr w:type="gramStart"/>
      <w:r w:rsidRPr="00D03F93">
        <w:t>in particular dynamic</w:t>
      </w:r>
      <w:proofErr w:type="gramEnd"/>
      <w:r w:rsidRPr="00D03F93">
        <w:t xml:space="preserve"> efficiencies related to innovation. As highlighted in the section on efficiencies, this omission risks leading to a systematic undervaluation of such efficiencies, despite their increasing importance in modern, innovation-driven markets.</w:t>
      </w:r>
    </w:p>
    <w:p w14:paraId="4292D77F" w14:textId="39B7CA67" w:rsidR="00391839" w:rsidRPr="00D03F93" w:rsidRDefault="00265521" w:rsidP="006464FF">
      <w:pPr>
        <w:pStyle w:val="Style1"/>
      </w:pPr>
      <w:proofErr w:type="gramStart"/>
      <w:r w:rsidRPr="00D03F93">
        <w:t>In light of</w:t>
      </w:r>
      <w:proofErr w:type="gramEnd"/>
      <w:r w:rsidRPr="00D03F93">
        <w:t xml:space="preserve"> the above, the APDC considers that further clarification is necessary to ensure that the intended symmetry between theories of harm and benefit is effectively reflected in practice. In particular, the Commission should ensure that evidentiary standards are applied in a manner consistent with the probabilistic nature of merger assessment, clarify the respective roles of the parties and the Commission in </w:t>
      </w:r>
      <w:r w:rsidRPr="00D03F93">
        <w:lastRenderedPageBreak/>
        <w:t>substantiating efficiencies, and provide more structured guidance on the assessment and weighting of evidence, including in situations characteri</w:t>
      </w:r>
      <w:r w:rsidR="0020424E">
        <w:t>s</w:t>
      </w:r>
      <w:r w:rsidRPr="00D03F93">
        <w:t>ed by uncertainty. Such clarifications would contribute to a more balanced and predictable framework and enable efficiencies to play a meaningful role in merger control.</w:t>
      </w:r>
    </w:p>
    <w:p w14:paraId="2AA2883B" w14:textId="241F1C79" w:rsidR="00391839" w:rsidRPr="00D03F93" w:rsidRDefault="00391839" w:rsidP="006340E6">
      <w:pPr>
        <w:pStyle w:val="Firm5L2"/>
      </w:pPr>
      <w:r w:rsidRPr="00D03F93">
        <w:t>Causality between the merger and the competitive effects</w:t>
      </w:r>
    </w:p>
    <w:p w14:paraId="38510FAF" w14:textId="6F0CD731" w:rsidR="00391839" w:rsidRPr="00D03F93" w:rsidRDefault="005D41C6" w:rsidP="006340E6">
      <w:pPr>
        <w:pStyle w:val="Firm5L3"/>
      </w:pPr>
      <w:r w:rsidRPr="00D03F93">
        <w:t xml:space="preserve">Relevant counterfactual </w:t>
      </w:r>
    </w:p>
    <w:p w14:paraId="72AC4A42" w14:textId="483BC5D4" w:rsidR="00B24C9E" w:rsidRPr="00D03F93" w:rsidRDefault="00B24C9E" w:rsidP="008A151F">
      <w:pPr>
        <w:pStyle w:val="Style1"/>
      </w:pPr>
      <w:r w:rsidRPr="00D03F93">
        <w:t>Part 5 of the Guiding Principles sets out a clear framework for establishing causality between a merger and the effects on competition. The Commission will rely on a counterfactual assessment, comparing the situation with the merger with that without the merger (absent efficiencies). This is to be commended. In line with the Commission, the APDC considers that a rigorous assessment of the relevant counterfactual is indeed key to a proper assessment of proposed mergers. The APDC also supports the Commission</w:t>
      </w:r>
      <w:r w:rsidR="002D7F99">
        <w:t>’</w:t>
      </w:r>
      <w:r w:rsidRPr="00D03F93">
        <w:t xml:space="preserve">s position that pre-merger conditions are an instructive benchmark, which can be adapted (i) for future market conditions unrelated to the merger (where there is sufficient certainty); or (ii) to account for non-representative market conditions. </w:t>
      </w:r>
    </w:p>
    <w:p w14:paraId="56A9B984" w14:textId="301E26FB" w:rsidR="00B24C9E" w:rsidRPr="00D03F93" w:rsidRDefault="00B24C9E" w:rsidP="00B24C9E">
      <w:pPr>
        <w:pStyle w:val="Style1"/>
      </w:pPr>
      <w:r w:rsidRPr="00D03F93">
        <w:t>From a purely formal standpoint, the APDC notes that at para</w:t>
      </w:r>
      <w:r w:rsidR="00515690" w:rsidRPr="00D03F93">
        <w:t>.</w:t>
      </w:r>
      <w:r w:rsidRPr="00D03F93">
        <w:t xml:space="preserve"> 37 of the Draft Guidelines, the Commission wishes to assess </w:t>
      </w:r>
      <w:r w:rsidR="002D7F99">
        <w:t>“</w:t>
      </w:r>
      <w:r w:rsidRPr="00D03F93">
        <w:rPr>
          <w:i/>
          <w:iCs/>
        </w:rPr>
        <w:t>whether there is a causal link between the merger and the effects on competition</w:t>
      </w:r>
      <w:r w:rsidR="002D7F99">
        <w:t>”</w:t>
      </w:r>
      <w:r w:rsidRPr="00D03F93">
        <w:t xml:space="preserve">. This seems to imply that a merger has effects on competition (regardless of the counterfactual). A potentially more neutral drafting could be </w:t>
      </w:r>
      <w:r w:rsidR="002D7F99">
        <w:t>“</w:t>
      </w:r>
      <w:r w:rsidRPr="00D03F93">
        <w:t>whether there is a causal link between the merger and any effect on competition</w:t>
      </w:r>
      <w:r w:rsidR="002D7F99">
        <w:t>”</w:t>
      </w:r>
      <w:r w:rsidRPr="00D03F93">
        <w:t>.</w:t>
      </w:r>
    </w:p>
    <w:p w14:paraId="55B22B17" w14:textId="4EFEDAF1" w:rsidR="00B24C9E" w:rsidRPr="00D03F93" w:rsidRDefault="00391839" w:rsidP="006340E6">
      <w:pPr>
        <w:pStyle w:val="Firm5L3"/>
      </w:pPr>
      <w:r w:rsidRPr="00D03F93">
        <w:t>Failing firm</w:t>
      </w:r>
    </w:p>
    <w:p w14:paraId="5DC1887B" w14:textId="51EC16D6" w:rsidR="00AB4BF2" w:rsidRPr="00D03F93" w:rsidRDefault="00AB4BF2" w:rsidP="00AB4BF2">
      <w:pPr>
        <w:pStyle w:val="Firm1L1"/>
        <w:rPr>
          <w:kern w:val="2"/>
          <w:szCs w:val="22"/>
          <w:lang w:eastAsia="zh-CN"/>
          <w14:ligatures w14:val="standardContextual"/>
        </w:rPr>
      </w:pPr>
      <w:r w:rsidRPr="00D03F93">
        <w:t xml:space="preserve">Regarding failing firms and failing divisions, the Commission now provides guidance on the notion of failing firms at the beginning of the Draft Guidelines, rather than at the end. It also no longer refers to it as a </w:t>
      </w:r>
      <w:r w:rsidR="002D7F99">
        <w:t>“</w:t>
      </w:r>
      <w:r w:rsidRPr="00D03F93">
        <w:t>defence</w:t>
      </w:r>
      <w:r w:rsidR="002D7F99">
        <w:t>”</w:t>
      </w:r>
      <w:r w:rsidRPr="00D03F93">
        <w:t xml:space="preserve"> but fully incorporates the failing firm theory as part of the counterfactual. Finally, the Commission no longer limits the application of the failing firm theory to </w:t>
      </w:r>
      <w:r w:rsidR="002D7F99">
        <w:t>“</w:t>
      </w:r>
      <w:r w:rsidRPr="00D03F93">
        <w:rPr>
          <w:i/>
          <w:iCs/>
        </w:rPr>
        <w:t>exceptional circumstances</w:t>
      </w:r>
      <w:bookmarkStart w:id="0" w:name="_ftnref1"/>
      <w:r w:rsidR="002D7F99">
        <w:t>”</w:t>
      </w:r>
      <w:bookmarkEnd w:id="0"/>
      <w:r w:rsidRPr="00D03F93">
        <w:t xml:space="preserve">. The APDC fully agrees with these changes: there is no reason that, if properly substantiated, such a counterfactual should only be </w:t>
      </w:r>
      <w:proofErr w:type="gramStart"/>
      <w:r w:rsidRPr="00D03F93">
        <w:t>taken into account</w:t>
      </w:r>
      <w:proofErr w:type="gramEnd"/>
      <w:r w:rsidRPr="00D03F93">
        <w:t xml:space="preserve"> as a defence available in exceptional circumstances.</w:t>
      </w:r>
    </w:p>
    <w:p w14:paraId="4324B440" w14:textId="034A9859" w:rsidR="00B24C9E" w:rsidRPr="00D03F93" w:rsidRDefault="00B24C9E" w:rsidP="008A151F">
      <w:pPr>
        <w:pStyle w:val="Style1"/>
      </w:pPr>
      <w:r w:rsidRPr="00D03F93">
        <w:t xml:space="preserve">However, the APDC considers that the Commission should not limit the application of the </w:t>
      </w:r>
      <w:r w:rsidR="002D7F99">
        <w:t>“</w:t>
      </w:r>
      <w:r w:rsidRPr="00D03F93">
        <w:rPr>
          <w:i/>
          <w:iCs/>
        </w:rPr>
        <w:t>failing division</w:t>
      </w:r>
      <w:r w:rsidR="002D7F99">
        <w:t>”</w:t>
      </w:r>
      <w:r w:rsidRPr="00D03F93">
        <w:t xml:space="preserve"> theory to exceptional circumstances, as currently envisaged at para</w:t>
      </w:r>
      <w:r w:rsidR="00D80B67">
        <w:t>.</w:t>
      </w:r>
      <w:r w:rsidRPr="00D03F93">
        <w:t xml:space="preserve"> 50 of the Draft Guidelines. The APDC understands that the Commission would need to have sufficient evidence that the relevant criteria are met. Yet, when the parties </w:t>
      </w:r>
      <w:r w:rsidR="00C363C9" w:rsidRPr="00D03F93">
        <w:t>can</w:t>
      </w:r>
      <w:r w:rsidRPr="00D03F93">
        <w:t xml:space="preserve"> show that these conditions are met, there is no reason to limit the application of the failing division to exceptional circumstances. As the parties bear the burden of proof (as stated at para</w:t>
      </w:r>
      <w:r w:rsidR="00801D14" w:rsidRPr="00D03F93">
        <w:t xml:space="preserve">. </w:t>
      </w:r>
      <w:r w:rsidRPr="00D03F93">
        <w:t xml:space="preserve">51 of the Draft Guidelines), the Commission should assess all evidence brought forward objectively to determine whether the conditions are met. </w:t>
      </w:r>
    </w:p>
    <w:p w14:paraId="63708800" w14:textId="42E0EC9C" w:rsidR="00B24C9E" w:rsidRPr="00D03F93" w:rsidRDefault="00EB6FE0" w:rsidP="00EB6FE0">
      <w:pPr>
        <w:pStyle w:val="Style1"/>
      </w:pPr>
      <w:r w:rsidRPr="00D03F93">
        <w:t>With respect to exiting firms, t</w:t>
      </w:r>
      <w:r w:rsidR="00B24C9E" w:rsidRPr="00D03F93">
        <w:t xml:space="preserve">he APDC submits that the Commission could amend the Draft Guidelines to make it possible to assess, as a potential counterfactual, a scenario </w:t>
      </w:r>
      <w:r w:rsidR="00B24C9E" w:rsidRPr="00D03F93">
        <w:lastRenderedPageBreak/>
        <w:t>of exiting firms</w:t>
      </w:r>
      <w:r w:rsidR="00E61977">
        <w:t>.</w:t>
      </w:r>
      <w:r w:rsidR="00B24C9E" w:rsidRPr="00D03F93">
        <w:rPr>
          <w:vertAlign w:val="superscript"/>
        </w:rPr>
        <w:footnoteReference w:id="2"/>
      </w:r>
      <w:r w:rsidR="00B24C9E" w:rsidRPr="00D03F93">
        <w:t xml:space="preserve"> An undertaking may indeed decide to exit from a particular market, for instance when its activities on that market are underperforming. Once it has taken this decision, it may decide to wind down its </w:t>
      </w:r>
      <w:proofErr w:type="gramStart"/>
      <w:r w:rsidR="00B24C9E" w:rsidRPr="00D03F93">
        <w:t>activities, or</w:t>
      </w:r>
      <w:proofErr w:type="gramEnd"/>
      <w:r w:rsidR="00B24C9E" w:rsidRPr="00D03F93">
        <w:t xml:space="preserve"> try to sell them. If there is no less anticompetitive merger than the notified merger, and that absent the merger, there is certainty that the activities would be wound down with a comparable degradation in market conditions, the proposed merger would not be the cause of such degradation in market conditions. </w:t>
      </w:r>
    </w:p>
    <w:p w14:paraId="6F1E5385" w14:textId="3A0D2495" w:rsidR="00B24C9E" w:rsidRPr="00D03F93" w:rsidRDefault="00B24C9E" w:rsidP="00D7655C">
      <w:pPr>
        <w:pStyle w:val="Style1"/>
      </w:pPr>
      <w:r w:rsidRPr="00D03F93">
        <w:t>The APDC understands that the Commission would need to carefully assess all available evidence to determine that the alternative to the merger is indeed the firm</w:t>
      </w:r>
      <w:r w:rsidR="002D7F99">
        <w:t>’</w:t>
      </w:r>
      <w:r w:rsidRPr="00D03F93">
        <w:t>s exit from the market</w:t>
      </w:r>
      <w:r w:rsidR="00E61977">
        <w:t>.</w:t>
      </w:r>
      <w:r w:rsidRPr="00D03F93">
        <w:rPr>
          <w:vertAlign w:val="superscript"/>
        </w:rPr>
        <w:footnoteReference w:id="3"/>
      </w:r>
      <w:r w:rsidRPr="00D03F93">
        <w:t xml:space="preserve"> Yet, the Commission itself notes in its decisions that undertakings frequently decide to exit certain markets</w:t>
      </w:r>
      <w:r w:rsidR="00E61977">
        <w:t>.</w:t>
      </w:r>
      <w:r w:rsidRPr="00D03F93">
        <w:rPr>
          <w:vertAlign w:val="superscript"/>
        </w:rPr>
        <w:footnoteReference w:id="4"/>
      </w:r>
      <w:r w:rsidRPr="00D03F93">
        <w:t xml:space="preserve"> The </w:t>
      </w:r>
      <w:r w:rsidR="00D7655C" w:rsidRPr="00D03F93">
        <w:t>Final Guidelines</w:t>
      </w:r>
      <w:r w:rsidR="00B95A32" w:rsidRPr="00D03F93">
        <w:t xml:space="preserve"> </w:t>
      </w:r>
      <w:r w:rsidRPr="00D03F93">
        <w:t xml:space="preserve">should accept this market reality as a relevant counterfactual. </w:t>
      </w:r>
    </w:p>
    <w:p w14:paraId="6506FBE2" w14:textId="77777777" w:rsidR="007D20BB" w:rsidRPr="00D03F93" w:rsidRDefault="007D20BB" w:rsidP="007D20BB">
      <w:pPr>
        <w:pStyle w:val="BodyText"/>
      </w:pPr>
    </w:p>
    <w:p w14:paraId="293A3BEE" w14:textId="3A19F001" w:rsidR="007D20BB" w:rsidRPr="00D03F93" w:rsidRDefault="007D20BB">
      <w:r w:rsidRPr="00D03F93">
        <w:br w:type="page"/>
      </w:r>
    </w:p>
    <w:p w14:paraId="4F7265CA" w14:textId="7A6FDA69" w:rsidR="00391839" w:rsidRPr="00D03F93" w:rsidRDefault="00391839" w:rsidP="006340E6">
      <w:pPr>
        <w:pStyle w:val="Firm5L1"/>
      </w:pPr>
      <w:r w:rsidRPr="00D03F93">
        <w:lastRenderedPageBreak/>
        <w:t>COMPETITIVE ASSESSMENT</w:t>
      </w:r>
    </w:p>
    <w:p w14:paraId="72B7C49B" w14:textId="7C8BB9B2" w:rsidR="00391839" w:rsidRPr="00D03F93" w:rsidRDefault="00BA3946" w:rsidP="006340E6">
      <w:pPr>
        <w:pStyle w:val="Firm5L2"/>
      </w:pPr>
      <w:r w:rsidRPr="00D03F93">
        <w:t>Market Power</w:t>
      </w:r>
    </w:p>
    <w:p w14:paraId="0EFE606D" w14:textId="2BDED78D" w:rsidR="00391839" w:rsidRPr="00D03F93" w:rsidRDefault="00391839" w:rsidP="006340E6">
      <w:pPr>
        <w:pStyle w:val="Firm5L3"/>
      </w:pPr>
      <w:r w:rsidRPr="00D03F93">
        <w:t>Structural indicators of market power</w:t>
      </w:r>
    </w:p>
    <w:p w14:paraId="4FC601A6" w14:textId="039AAD58" w:rsidR="00391839" w:rsidRPr="00D03F93" w:rsidRDefault="00391839" w:rsidP="00757792">
      <w:pPr>
        <w:pStyle w:val="Style1"/>
      </w:pPr>
      <w:r w:rsidRPr="00D03F93">
        <w:t xml:space="preserve">As indicated in its contribution </w:t>
      </w:r>
      <w:r w:rsidR="00003299" w:rsidRPr="00D03F93">
        <w:t>of</w:t>
      </w:r>
      <w:r w:rsidRPr="00D03F93">
        <w:t xml:space="preserve"> 3 September 2025, in the APDC</w:t>
      </w:r>
      <w:r w:rsidR="002D7F99">
        <w:t>’</w:t>
      </w:r>
      <w:r w:rsidRPr="00D03F93">
        <w:t>s view, the current indicators / market features used by the Commission to assess the likelihood of anticompetitive effects as described in the Horizontal Guidelines</w:t>
      </w:r>
      <w:r w:rsidR="00063D82" w:rsidRPr="00D03F93">
        <w:t xml:space="preserve"> </w:t>
      </w:r>
      <w:r w:rsidRPr="00D03F93">
        <w:t xml:space="preserve">are clear and relevant. These developments do not need to be modified as part of the contemplated reform of the </w:t>
      </w:r>
      <w:r w:rsidR="007705F5" w:rsidRPr="00D03F93">
        <w:t>Draft Guidelines</w:t>
      </w:r>
      <w:r w:rsidRPr="00D03F93">
        <w:t>.</w:t>
      </w:r>
    </w:p>
    <w:p w14:paraId="7A3A2527" w14:textId="77777777" w:rsidR="00391839" w:rsidRPr="00D03F93" w:rsidRDefault="00391839" w:rsidP="00757792">
      <w:pPr>
        <w:pStyle w:val="Style1"/>
      </w:pPr>
      <w:r w:rsidRPr="00D03F93">
        <w:t xml:space="preserve">The APDC notes that the Draft Guidelines – which do not provide any more separate provisions for horizontal mergers on one hand, and vertical / conglomerate mergers on the other hand – provide a degree of continuity with the Horizontal Guidelines. </w:t>
      </w:r>
      <w:proofErr w:type="gramStart"/>
      <w:r w:rsidRPr="00D03F93">
        <w:t>In particular, they</w:t>
      </w:r>
      <w:proofErr w:type="gramEnd"/>
      <w:r w:rsidRPr="00D03F93">
        <w:t xml:space="preserve"> rightly reiterate that market shares and HHI are useful initial indicators but are not, in themselves, determinative of market power. At the same time, the Draft Guidelines place greater emphasis on forward-looking and dynamic indicators, explicitly recognising that market shares constitute a mere snapshot in time and do not always provide an accurate reflection of how competition operates in practice.</w:t>
      </w:r>
    </w:p>
    <w:p w14:paraId="23B03FEE" w14:textId="1562BFFA" w:rsidR="00391839" w:rsidRPr="00D03F93" w:rsidRDefault="00391839" w:rsidP="00757792">
      <w:pPr>
        <w:pStyle w:val="Style1"/>
        <w:rPr>
          <w:i/>
          <w:iCs/>
        </w:rPr>
      </w:pPr>
      <w:r w:rsidRPr="00D03F93">
        <w:t>The APDC nonetheless wishes to submit the following comments in relation to the assessment of market shares, the use of other evidence than market shares to assess market power – such as internal documents, and market concentration indicators.</w:t>
      </w:r>
      <w:r w:rsidR="003A1CBB" w:rsidRPr="00D03F93">
        <w:t xml:space="preserve"> </w:t>
      </w:r>
    </w:p>
    <w:p w14:paraId="402A9CE2" w14:textId="4095F4F8" w:rsidR="00F82788" w:rsidRPr="00D03F93" w:rsidRDefault="00F82788" w:rsidP="00D03F93">
      <w:pPr>
        <w:pStyle w:val="Style1"/>
        <w:numPr>
          <w:ilvl w:val="0"/>
          <w:numId w:val="0"/>
        </w:numPr>
        <w:ind w:left="720"/>
        <w:rPr>
          <w:b/>
          <w:bCs/>
          <w:i/>
          <w:iCs/>
          <w:lang w:val="en-US"/>
        </w:rPr>
      </w:pPr>
      <w:r w:rsidRPr="00D03F93">
        <w:rPr>
          <w:b/>
          <w:bCs/>
          <w:i/>
          <w:iCs/>
          <w:lang w:val="en-US"/>
        </w:rPr>
        <w:t xml:space="preserve">Removal of the 30% market share safe </w:t>
      </w:r>
      <w:proofErr w:type="spellStart"/>
      <w:r w:rsidRPr="00D03F93">
        <w:rPr>
          <w:b/>
          <w:bCs/>
          <w:i/>
          <w:iCs/>
          <w:lang w:val="en-US"/>
        </w:rPr>
        <w:t>harbour</w:t>
      </w:r>
      <w:proofErr w:type="spellEnd"/>
      <w:r w:rsidRPr="00D03F93">
        <w:rPr>
          <w:b/>
          <w:bCs/>
          <w:i/>
          <w:iCs/>
          <w:lang w:val="en-US"/>
        </w:rPr>
        <w:t xml:space="preserve"> for non-horizontal mergers</w:t>
      </w:r>
    </w:p>
    <w:p w14:paraId="7E3E1F73" w14:textId="056E5D64" w:rsidR="00630CB4" w:rsidRPr="008707E4" w:rsidRDefault="008707E4" w:rsidP="00630CB4">
      <w:pPr>
        <w:pStyle w:val="Style1"/>
        <w:rPr>
          <w:lang w:val="en-US"/>
        </w:rPr>
      </w:pPr>
      <w:r>
        <w:t>The</w:t>
      </w:r>
      <w:r w:rsidR="00F82788" w:rsidRPr="00D03F93">
        <w:t xml:space="preserve"> Draft Guidelines would benefit from reintroducing the explicit </w:t>
      </w:r>
      <w:r w:rsidR="00630CB4" w:rsidRPr="00D03F93">
        <w:t>30% market share s</w:t>
      </w:r>
      <w:r w:rsidR="00F82788" w:rsidRPr="00D03F93">
        <w:t xml:space="preserve">oft safe harbour </w:t>
      </w:r>
      <w:r w:rsidR="00630CB4" w:rsidRPr="00D03F93">
        <w:t>for non-horizontal merger</w:t>
      </w:r>
      <w:r w:rsidR="00E671C9" w:rsidRPr="00D03F93">
        <w:t>s</w:t>
      </w:r>
      <w:r w:rsidR="00F82788" w:rsidRPr="00D03F93">
        <w:t xml:space="preserve">. </w:t>
      </w:r>
      <w:r w:rsidR="00630CB4" w:rsidRPr="00D03F93">
        <w:t xml:space="preserve">We also invite the Commission to instate a soft safe harbour </w:t>
      </w:r>
      <w:r w:rsidRPr="00D03F93">
        <w:t xml:space="preserve">market share </w:t>
      </w:r>
      <w:r w:rsidR="00630CB4" w:rsidRPr="00D03F93">
        <w:t>threshold for horizontal mergers</w:t>
      </w:r>
      <w:r w:rsidR="00D15A46">
        <w:t>.</w:t>
      </w:r>
      <w:r w:rsidR="00630CB4" w:rsidRPr="00D03F93">
        <w:rPr>
          <w:rStyle w:val="FootnoteReference"/>
        </w:rPr>
        <w:footnoteReference w:id="5"/>
      </w:r>
    </w:p>
    <w:p w14:paraId="66C7A41B" w14:textId="7D7D1F32" w:rsidR="00630CB4" w:rsidRPr="00D03F93" w:rsidRDefault="00630CB4" w:rsidP="00630CB4">
      <w:pPr>
        <w:pStyle w:val="Style1"/>
        <w:rPr>
          <w:lang w:val="en-US"/>
        </w:rPr>
      </w:pPr>
      <w:r w:rsidRPr="00D03F93">
        <w:t>This would better reflect enforcement practice in non-problematic transactions and enhance legal certainty</w:t>
      </w:r>
      <w:r w:rsidR="001D4261" w:rsidRPr="00D03F93">
        <w:t xml:space="preserve"> by reducing the level of evidence </w:t>
      </w:r>
      <w:r w:rsidR="009961A9" w:rsidRPr="00D03F93">
        <w:t>to be provided by notifying parties in non-problematic cases</w:t>
      </w:r>
      <w:r w:rsidRPr="00D03F93">
        <w:t>, while preserving the Commission</w:t>
      </w:r>
      <w:r w:rsidR="002D7F99">
        <w:t>’</w:t>
      </w:r>
      <w:r w:rsidRPr="00D03F93">
        <w:t xml:space="preserve">s ability to intervene in cases raising specific competitive concerns. </w:t>
      </w:r>
    </w:p>
    <w:p w14:paraId="3B91638E" w14:textId="49C16D83" w:rsidR="00391839" w:rsidRPr="00D03F93" w:rsidRDefault="00391839" w:rsidP="00CD4642">
      <w:pPr>
        <w:pStyle w:val="Sch1L1"/>
        <w:ind w:firstLine="720"/>
        <w:rPr>
          <w:i/>
          <w:iCs/>
        </w:rPr>
      </w:pPr>
      <w:r w:rsidRPr="00D03F93">
        <w:rPr>
          <w:i/>
          <w:iCs/>
        </w:rPr>
        <w:t>Large market shares</w:t>
      </w:r>
    </w:p>
    <w:p w14:paraId="53A50D1C" w14:textId="67A4DE29" w:rsidR="00391839" w:rsidRPr="00D03F93" w:rsidRDefault="00391839" w:rsidP="00757792">
      <w:pPr>
        <w:pStyle w:val="Style1"/>
      </w:pPr>
      <w:r w:rsidRPr="00D03F93">
        <w:t>The tiered classification of market shares (</w:t>
      </w:r>
      <w:r w:rsidR="002D7F99">
        <w:t>“</w:t>
      </w:r>
      <w:r w:rsidRPr="00D03F93">
        <w:rPr>
          <w:i/>
          <w:iCs/>
        </w:rPr>
        <w:t>low</w:t>
      </w:r>
      <w:r w:rsidR="002D7F99">
        <w:t>”</w:t>
      </w:r>
      <w:r w:rsidRPr="00D03F93">
        <w:t xml:space="preserve"> (&lt;10%), </w:t>
      </w:r>
      <w:r w:rsidR="002D7F99">
        <w:t>“</w:t>
      </w:r>
      <w:r w:rsidRPr="00D03F93">
        <w:rPr>
          <w:i/>
          <w:iCs/>
        </w:rPr>
        <w:t>moderate</w:t>
      </w:r>
      <w:r w:rsidR="002D7F99">
        <w:t>”</w:t>
      </w:r>
      <w:r w:rsidRPr="00D03F93">
        <w:t xml:space="preserve"> (10%</w:t>
      </w:r>
      <w:r w:rsidR="00F16B1A" w:rsidRPr="00D03F93">
        <w:t>-</w:t>
      </w:r>
      <w:r w:rsidRPr="00D03F93">
        <w:t xml:space="preserve">25%), </w:t>
      </w:r>
      <w:r w:rsidR="002D7F99">
        <w:t>“</w:t>
      </w:r>
      <w:r w:rsidRPr="00D03F93">
        <w:rPr>
          <w:i/>
          <w:iCs/>
        </w:rPr>
        <w:t>material</w:t>
      </w:r>
      <w:r w:rsidR="002D7F99">
        <w:t>”</w:t>
      </w:r>
      <w:r w:rsidRPr="00D03F93">
        <w:t xml:space="preserve"> (25%</w:t>
      </w:r>
      <w:r w:rsidR="00F16B1A" w:rsidRPr="00D03F93">
        <w:t>-</w:t>
      </w:r>
      <w:r w:rsidRPr="00D03F93">
        <w:t xml:space="preserve">40%), </w:t>
      </w:r>
      <w:r w:rsidR="002D7F99">
        <w:t>“</w:t>
      </w:r>
      <w:r w:rsidRPr="00D03F93">
        <w:rPr>
          <w:i/>
          <w:iCs/>
        </w:rPr>
        <w:t>high</w:t>
      </w:r>
      <w:r w:rsidR="002D7F99">
        <w:t>”</w:t>
      </w:r>
      <w:r w:rsidRPr="00D03F93">
        <w:t xml:space="preserve"> (40%</w:t>
      </w:r>
      <w:r w:rsidR="00F16B1A" w:rsidRPr="00D03F93">
        <w:t>-</w:t>
      </w:r>
      <w:r w:rsidRPr="00D03F93">
        <w:t xml:space="preserve">50%) and </w:t>
      </w:r>
      <w:r w:rsidR="002D7F99">
        <w:t>“</w:t>
      </w:r>
      <w:r w:rsidRPr="00D03F93">
        <w:rPr>
          <w:i/>
          <w:iCs/>
        </w:rPr>
        <w:t>very high</w:t>
      </w:r>
      <w:r w:rsidR="002D7F99">
        <w:t>”</w:t>
      </w:r>
      <w:r w:rsidRPr="00D03F93">
        <w:t xml:space="preserve"> (&gt;50%)), although useful from a descriptive standpoint, should be more clearly decoupled from any inference of competitive strength. The use of labels such as </w:t>
      </w:r>
      <w:r w:rsidR="002D7F99">
        <w:t>“</w:t>
      </w:r>
      <w:r w:rsidRPr="00D03F93">
        <w:rPr>
          <w:i/>
          <w:iCs/>
        </w:rPr>
        <w:t>low</w:t>
      </w:r>
      <w:r w:rsidR="002D7F99">
        <w:t>”</w:t>
      </w:r>
      <w:r w:rsidRPr="00D03F93">
        <w:t xml:space="preserve">, </w:t>
      </w:r>
      <w:r w:rsidR="002D7F99">
        <w:t>“</w:t>
      </w:r>
      <w:r w:rsidRPr="00D03F93">
        <w:rPr>
          <w:i/>
          <w:iCs/>
        </w:rPr>
        <w:t>moderate</w:t>
      </w:r>
      <w:r w:rsidR="002D7F99">
        <w:t>”</w:t>
      </w:r>
      <w:r w:rsidRPr="00D03F93">
        <w:t xml:space="preserve"> or </w:t>
      </w:r>
      <w:r w:rsidR="002D7F99">
        <w:t>“</w:t>
      </w:r>
      <w:r w:rsidRPr="00D03F93">
        <w:rPr>
          <w:i/>
          <w:iCs/>
        </w:rPr>
        <w:t>material</w:t>
      </w:r>
      <w:r w:rsidR="002D7F99">
        <w:t>”</w:t>
      </w:r>
      <w:r w:rsidRPr="00D03F93">
        <w:t xml:space="preserve"> risks being interpreted as a quasi-structural taxonomy of market power, and the Draft Guidelines should explicitly prevent any such interpretative drift.</w:t>
      </w:r>
    </w:p>
    <w:p w14:paraId="7DF4D2CB" w14:textId="0090EA24" w:rsidR="00391839" w:rsidRPr="00D03F93" w:rsidRDefault="00391839" w:rsidP="00757792">
      <w:pPr>
        <w:pStyle w:val="Style1"/>
      </w:pPr>
      <w:r w:rsidRPr="00D03F93">
        <w:t xml:space="preserve">Although the Draft Guidelines acknowledge that structural indicators may be </w:t>
      </w:r>
      <w:r w:rsidR="002D7F99">
        <w:t>“</w:t>
      </w:r>
      <w:r w:rsidRPr="00D03F93">
        <w:rPr>
          <w:i/>
          <w:iCs/>
        </w:rPr>
        <w:t>less informative</w:t>
      </w:r>
      <w:r w:rsidR="002D7F99">
        <w:t>”</w:t>
      </w:r>
      <w:r w:rsidRPr="00D03F93">
        <w:t xml:space="preserve"> in certain contexts, it offers only limited operational guidance as to when </w:t>
      </w:r>
      <w:r w:rsidRPr="00D03F93">
        <w:lastRenderedPageBreak/>
        <w:t>and how such indicators should be deprioritised. This lack of granularity may result in a significant degree of discretion, potentially reducing predictability for merging parties and weakening the consistency of enforcement practice.</w:t>
      </w:r>
    </w:p>
    <w:p w14:paraId="3F4F8F43" w14:textId="1C25DBA0" w:rsidR="00391839" w:rsidRPr="00D03F93" w:rsidRDefault="00391839" w:rsidP="00B468B6">
      <w:pPr>
        <w:pStyle w:val="Sch1L5"/>
        <w:ind w:firstLine="720"/>
      </w:pPr>
      <w:r w:rsidRPr="00D03F93">
        <w:t>Careful reliance on internal documents</w:t>
      </w:r>
    </w:p>
    <w:p w14:paraId="6A37D1B5" w14:textId="77777777" w:rsidR="00391839" w:rsidRPr="00D03F93" w:rsidRDefault="00391839" w:rsidP="00757792">
      <w:pPr>
        <w:pStyle w:val="Style1"/>
      </w:pPr>
      <w:r w:rsidRPr="00D03F93">
        <w:t xml:space="preserve">The increased reliance on internal documents introduces a risk of systematic pro-enforcement bias, insofar as such materials are not prepared for antitrust purposes and may reflect strategic, commercial or marketing-driven narratives rather than an objective assessment of competitive dynamics. </w:t>
      </w:r>
      <w:proofErr w:type="gramStart"/>
      <w:r w:rsidRPr="00D03F93">
        <w:t>In particular, internal</w:t>
      </w:r>
      <w:proofErr w:type="gramEnd"/>
      <w:r w:rsidRPr="00D03F93">
        <w:t xml:space="preserve"> presentations often serve to justify investment decisions, secure internal approvals, or communicate </w:t>
      </w:r>
      <w:proofErr w:type="gramStart"/>
      <w:r w:rsidRPr="00D03F93">
        <w:t>externally-oriented</w:t>
      </w:r>
      <w:proofErr w:type="gramEnd"/>
      <w:r w:rsidRPr="00D03F93">
        <w:t xml:space="preserve"> positioning, and may therefore overstate competitive strength, growth expectations or market significance in ways that are not necessarily indicative of market power.</w:t>
      </w:r>
    </w:p>
    <w:p w14:paraId="7A74FAD2" w14:textId="527316CF" w:rsidR="00391839" w:rsidRPr="00D03F93" w:rsidRDefault="00391839" w:rsidP="00757792">
      <w:pPr>
        <w:pStyle w:val="Style1"/>
      </w:pPr>
      <w:r w:rsidRPr="00D03F93">
        <w:t>This approach also implicitly assumes a degree of alignment between internal business market definitions and market definition in the case law, which is often absent in practice. Internal documents frequently rely on context-specific product or geographic definitions shaped by commercial organi</w:t>
      </w:r>
      <w:r w:rsidR="0020424E">
        <w:t>s</w:t>
      </w:r>
      <w:r w:rsidRPr="00D03F93">
        <w:t>ation, sales structures or customer segmentation strategies, which may diverge materially from the relevant market test. This creates a risk that evidentiary weight is placed on materials not designed to address competition-law questions, and which may therefore distort rather than clarify the assessment.</w:t>
      </w:r>
    </w:p>
    <w:p w14:paraId="74C743F8" w14:textId="1915F968" w:rsidR="00391839" w:rsidRPr="00D03F93" w:rsidRDefault="00391839" w:rsidP="00757792">
      <w:pPr>
        <w:pStyle w:val="Style1"/>
      </w:pPr>
      <w:r w:rsidRPr="00D03F93">
        <w:t>Internal documents should not substitute for a structured market-based analysis but serve</w:t>
      </w:r>
      <w:r w:rsidR="00961F8C" w:rsidRPr="00D03F93">
        <w:t xml:space="preserve"> – </w:t>
      </w:r>
      <w:r w:rsidRPr="00D03F93">
        <w:t>at most</w:t>
      </w:r>
      <w:r w:rsidR="00961F8C" w:rsidRPr="00D03F93">
        <w:t xml:space="preserve"> – </w:t>
      </w:r>
      <w:r w:rsidRPr="00D03F93">
        <w:t xml:space="preserve">as contextual or corroborative evidence, subject to careful interpretation </w:t>
      </w:r>
      <w:proofErr w:type="gramStart"/>
      <w:r w:rsidRPr="00D03F93">
        <w:t>in light of</w:t>
      </w:r>
      <w:proofErr w:type="gramEnd"/>
      <w:r w:rsidRPr="00D03F93">
        <w:t xml:space="preserve"> their inherent limitations. In this respect, the APDC would caution against any over-reliance on such documents.</w:t>
      </w:r>
    </w:p>
    <w:p w14:paraId="1B8780B3" w14:textId="79D26D5B" w:rsidR="00391839" w:rsidRPr="00D03F93" w:rsidRDefault="00391839" w:rsidP="00B468B6">
      <w:pPr>
        <w:pStyle w:val="Sch1L5"/>
        <w:keepNext/>
        <w:ind w:firstLine="720"/>
      </w:pPr>
      <w:r w:rsidRPr="00D03F93">
        <w:t>High market concentration</w:t>
      </w:r>
    </w:p>
    <w:p w14:paraId="38611364" w14:textId="5B683BA9" w:rsidR="00391839" w:rsidRPr="00D03F93" w:rsidRDefault="00391839" w:rsidP="0037427F">
      <w:pPr>
        <w:pStyle w:val="Style1"/>
      </w:pPr>
      <w:r w:rsidRPr="00D03F93">
        <w:t>The Draft Guidelines would also benefit from reintroducing explicit soft safe harbours based on concentration measures such as HHI</w:t>
      </w:r>
      <w:r w:rsidR="002536F5" w:rsidRPr="00D03F93">
        <w:t xml:space="preserve"> –</w:t>
      </w:r>
      <w:r w:rsidRPr="00D03F93">
        <w:t xml:space="preserve"> as currently provided in the Horizontal Guidelines</w:t>
      </w:r>
      <w:r w:rsidR="002536F5" w:rsidRPr="00D03F93">
        <w:t xml:space="preserve"> –</w:t>
      </w:r>
      <w:r w:rsidRPr="00D03F93">
        <w:t xml:space="preserve"> to continue ensuring predictability for merging parties for non-problematic transactions.</w:t>
      </w:r>
    </w:p>
    <w:p w14:paraId="7F31BE4A" w14:textId="56B1A0D3" w:rsidR="00391839" w:rsidRPr="00D03F93" w:rsidRDefault="00391839" w:rsidP="006340E6">
      <w:pPr>
        <w:pStyle w:val="Firm5L3"/>
        <w:keepNext/>
      </w:pPr>
      <w:r w:rsidRPr="00D03F93">
        <w:t>Other indicators of market power</w:t>
      </w:r>
    </w:p>
    <w:p w14:paraId="325E0A5B" w14:textId="243ED1BA" w:rsidR="00391839" w:rsidRPr="00D03F93" w:rsidRDefault="00391839" w:rsidP="0037427F">
      <w:pPr>
        <w:pStyle w:val="Style1"/>
      </w:pPr>
      <w:r w:rsidRPr="00D03F93">
        <w:t>The APDC takes note of the Commission</w:t>
      </w:r>
      <w:r w:rsidR="002D7F99">
        <w:t>’</w:t>
      </w:r>
      <w:r w:rsidRPr="00D03F93">
        <w:t xml:space="preserve">s initiative to identify non-price indicators that may be relevant to the assessment of market power </w:t>
      </w:r>
      <w:proofErr w:type="gramStart"/>
      <w:r w:rsidRPr="00D03F93">
        <w:t>in particular in</w:t>
      </w:r>
      <w:proofErr w:type="gramEnd"/>
      <w:r w:rsidRPr="00D03F93">
        <w:t xml:space="preserve"> markets where competition takes place on parameters other than price such as quality, choice, innovation, privacy, sustainability and resilience (para. 55</w:t>
      </w:r>
      <w:r w:rsidR="009728E5" w:rsidRPr="00D03F93">
        <w:t xml:space="preserve"> of the Draft Guidelines</w:t>
      </w:r>
      <w:r w:rsidRPr="00D03F93">
        <w:t>).</w:t>
      </w:r>
    </w:p>
    <w:p w14:paraId="5CC00712" w14:textId="77777777" w:rsidR="00391839" w:rsidRPr="00D03F93" w:rsidRDefault="00391839" w:rsidP="0037427F">
      <w:pPr>
        <w:pStyle w:val="Style1"/>
      </w:pPr>
      <w:r w:rsidRPr="00D03F93">
        <w:t>However, the APDC is concerned that several of the indicators listed in the Draft Guidelines may capture ordinary features of competitive markets which may be consistent with market power, but also with vigorous competition, efficiency and investment.</w:t>
      </w:r>
    </w:p>
    <w:p w14:paraId="4DDC185A" w14:textId="1900994D" w:rsidR="00391839" w:rsidRPr="00D03F93" w:rsidRDefault="00391839" w:rsidP="0037427F">
      <w:pPr>
        <w:pStyle w:val="Style1"/>
      </w:pPr>
      <w:r w:rsidRPr="00D03F93">
        <w:t xml:space="preserve">The APDC therefore </w:t>
      </w:r>
      <w:r w:rsidR="00987A5D" w:rsidRPr="00D03F93">
        <w:t>invite</w:t>
      </w:r>
      <w:r w:rsidR="00CC1107" w:rsidRPr="00D03F93">
        <w:t>s</w:t>
      </w:r>
      <w:r w:rsidR="00987A5D" w:rsidRPr="00D03F93">
        <w:t xml:space="preserve"> the Commission to </w:t>
      </w:r>
      <w:r w:rsidR="00317355" w:rsidRPr="00D03F93">
        <w:t>ensure</w:t>
      </w:r>
      <w:r w:rsidRPr="00D03F93">
        <w:t xml:space="preserve"> that the Draft Guidelines should make clear that these indicators do not, on the one hand, create presumptions of market </w:t>
      </w:r>
      <w:r w:rsidRPr="00D03F93">
        <w:lastRenderedPageBreak/>
        <w:t xml:space="preserve">power and do not, on the other hand, confer </w:t>
      </w:r>
      <w:r w:rsidR="00806FAE" w:rsidRPr="00D03F93">
        <w:t xml:space="preserve">too wide </w:t>
      </w:r>
      <w:r w:rsidR="003E4A81">
        <w:t xml:space="preserve">a </w:t>
      </w:r>
      <w:r w:rsidRPr="00D03F93">
        <w:t xml:space="preserve">margin of discretion on the Commission in the appreciation of whether a firm holds a sufficient degree of market power. Other indicators of market power should only be relied upon where the Commission can demonstrate, </w:t>
      </w:r>
      <w:proofErr w:type="gramStart"/>
      <w:r w:rsidRPr="00D03F93">
        <w:t>on the basis of</w:t>
      </w:r>
      <w:proofErr w:type="gramEnd"/>
      <w:r w:rsidRPr="00D03F93">
        <w:t xml:space="preserve"> concrete quantitative and qualitative evidence, that they are relevant in the market concerned and demonstrate, together with market share and concentration levels, the existence of market power.</w:t>
      </w:r>
    </w:p>
    <w:p w14:paraId="0F9F143B" w14:textId="77777777" w:rsidR="00391839" w:rsidRPr="00D03F93" w:rsidRDefault="00391839" w:rsidP="0037427F">
      <w:pPr>
        <w:pStyle w:val="Style1"/>
      </w:pPr>
      <w:r w:rsidRPr="00D03F93">
        <w:t>Furthermore, the Draft Guidelines introduce multiple qualitative and quantitative proxies for market power without specifying their relative weight, the conditions under which they are individually or collectively determinative, or how they interact with market share thresholds. The APDC respectfully submits that the Commission should clarify that these indicators do not operate as independent grounds for the finding of market power but as corroborating elements requiring holistic assessment and provide structured guidance on the evidentiary threshold to be satisfied.</w:t>
      </w:r>
    </w:p>
    <w:p w14:paraId="64D7E59C" w14:textId="4705D273" w:rsidR="00391839" w:rsidRPr="00D03F93" w:rsidRDefault="00391839" w:rsidP="0037427F">
      <w:pPr>
        <w:pStyle w:val="Style1"/>
      </w:pPr>
      <w:r w:rsidRPr="00D03F93">
        <w:t>The APDC also notes that the Draft Guidelines do not clarify which party bears the burden of producing evidence in relation to the indicators in paras. 68</w:t>
      </w:r>
      <w:r w:rsidR="00396F5F" w:rsidRPr="00D03F93">
        <w:t xml:space="preserve"> to </w:t>
      </w:r>
      <w:r w:rsidRPr="00D03F93">
        <w:t>79</w:t>
      </w:r>
      <w:r w:rsidR="00E62A8A" w:rsidRPr="00D03F93">
        <w:t xml:space="preserve"> of the Draft Guidelines</w:t>
      </w:r>
      <w:r w:rsidRPr="00D03F93">
        <w:t>. This ambiguity has direct practical consequences for parties</w:t>
      </w:r>
      <w:r w:rsidR="002D7F99">
        <w:t>’</w:t>
      </w:r>
      <w:r w:rsidRPr="00D03F93">
        <w:t xml:space="preserve"> ability to calibrate their notification materials appropriately and should be clarified.</w:t>
      </w:r>
    </w:p>
    <w:p w14:paraId="49908B21" w14:textId="16FDA41F" w:rsidR="00391839" w:rsidRPr="00D03F93" w:rsidRDefault="00391839" w:rsidP="0037427F">
      <w:pPr>
        <w:pStyle w:val="Style1"/>
      </w:pPr>
      <w:r w:rsidRPr="00D03F93">
        <w:t>Finally, the breadth and non-exhaustive character of the indicators in paras. 68</w:t>
      </w:r>
      <w:r w:rsidR="00396F5F" w:rsidRPr="00D03F93">
        <w:t xml:space="preserve"> to </w:t>
      </w:r>
      <w:r w:rsidRPr="00D03F93">
        <w:t>79</w:t>
      </w:r>
      <w:r w:rsidR="00E62A8A" w:rsidRPr="00D03F93">
        <w:t xml:space="preserve"> of the Draft Guidelines</w:t>
      </w:r>
      <w:r w:rsidRPr="00D03F93">
        <w:t xml:space="preserve"> </w:t>
      </w:r>
      <w:r w:rsidR="00F53335" w:rsidRPr="00D03F93">
        <w:t>risks</w:t>
      </w:r>
      <w:r w:rsidRPr="00D03F93">
        <w:t xml:space="preserve"> significantly expanding the information burden on notifying parties, potentially requiring comprehensive economic evidence on price sensitivity, margin benchmarking, switching cost analysis, and entry conditions even in unproblematic Phase I cases. The Commission should clarify that these indicators are engaged primarily where post-merger market shares already give rise to initial concern, and that Phase I review will be confined to those indicators most directly relevant to the specific theories of harm under investigation.</w:t>
      </w:r>
    </w:p>
    <w:p w14:paraId="49365BB0" w14:textId="2176CF52" w:rsidR="00391839" w:rsidRPr="00D03F93" w:rsidRDefault="00391839" w:rsidP="00B468B6">
      <w:pPr>
        <w:pStyle w:val="Sch1L8"/>
        <w:ind w:firstLine="720"/>
      </w:pPr>
      <w:r w:rsidRPr="00D03F93">
        <w:t>Low sensitivity to price</w:t>
      </w:r>
    </w:p>
    <w:p w14:paraId="45683B97" w14:textId="65C677B9" w:rsidR="00391839" w:rsidRPr="00D03F93" w:rsidRDefault="00391839" w:rsidP="0037427F">
      <w:pPr>
        <w:pStyle w:val="Style1"/>
      </w:pPr>
      <w:r w:rsidRPr="00D03F93">
        <w:t>In paras. 68 and 69</w:t>
      </w:r>
      <w:r w:rsidR="00E62A8A" w:rsidRPr="00D03F93">
        <w:t xml:space="preserve"> of the Draft Guidelines</w:t>
      </w:r>
      <w:r w:rsidRPr="00D03F93">
        <w:t>, the Commission refers to low customer sensitivity to price, including churn rates, switching patterns and elasticity estimates.</w:t>
      </w:r>
    </w:p>
    <w:p w14:paraId="4AC2E2BA" w14:textId="77777777" w:rsidR="00391839" w:rsidRPr="00D03F93" w:rsidRDefault="00391839" w:rsidP="0037427F">
      <w:pPr>
        <w:pStyle w:val="Style1"/>
      </w:pPr>
      <w:r w:rsidRPr="00D03F93">
        <w:t>The APDC considers that such evidence should be assessed with caution and not be treated as standalone evidence of market power.</w:t>
      </w:r>
    </w:p>
    <w:p w14:paraId="3180CF5D" w14:textId="77777777" w:rsidR="00391839" w:rsidRPr="00D03F93" w:rsidRDefault="00391839" w:rsidP="0037427F">
      <w:pPr>
        <w:pStyle w:val="Style1"/>
      </w:pPr>
      <w:r w:rsidRPr="00D03F93">
        <w:t>Notably, where the Commission relies on such evidence, it should control for confounding factors, including (but not limited to) cost inflation, capacity constraints, contractual duration, product mix, quality changes and customer-specific negotiations.</w:t>
      </w:r>
    </w:p>
    <w:p w14:paraId="359FFBCD" w14:textId="45675773" w:rsidR="00391839" w:rsidRPr="00D03F93" w:rsidRDefault="00391839" w:rsidP="0037427F">
      <w:pPr>
        <w:pStyle w:val="Style1"/>
      </w:pPr>
      <w:r w:rsidRPr="00D03F93">
        <w:t>The APDC also notes that the Draft Guidelines effect a significant methodological repositioning: factors previously assessed at the stage of the competitive effects analysis – such as the limited ability of customers to turn to alternative suppliers, which was analysed at that stage in the Horizontal Guidelines (para. 31) – are now integrated into the assessment of market power itself (para. 68</w:t>
      </w:r>
      <w:r w:rsidR="001F119D" w:rsidRPr="00D03F93">
        <w:t xml:space="preserve"> of the Draft Guidelines</w:t>
      </w:r>
      <w:r w:rsidRPr="00D03F93">
        <w:t>), upstream of any evaluation of anticompetitive effects. Similarly, the rigidity of competitors</w:t>
      </w:r>
      <w:r w:rsidR="002D7F99">
        <w:t>’</w:t>
      </w:r>
      <w:r w:rsidRPr="00D03F93">
        <w:t xml:space="preserve"> supply in response to market developments (para. 69</w:t>
      </w:r>
      <w:r w:rsidR="001F119D" w:rsidRPr="00D03F93">
        <w:t xml:space="preserve"> of the Draft Guidelines</w:t>
      </w:r>
      <w:r w:rsidRPr="00D03F93">
        <w:t xml:space="preserve">), which was traditionally analysed in the context of the competitive effects assessment (paras. </w:t>
      </w:r>
      <w:r w:rsidRPr="00D03F93">
        <w:lastRenderedPageBreak/>
        <w:t>32</w:t>
      </w:r>
      <w:r w:rsidR="00FA51FC" w:rsidRPr="00D03F93">
        <w:t xml:space="preserve"> to </w:t>
      </w:r>
      <w:r w:rsidRPr="00D03F93">
        <w:t>35 of the Horizontal Guidelines), is now treated as a direct indicator of the degree of market power already held by the entity concerned.</w:t>
      </w:r>
    </w:p>
    <w:p w14:paraId="2F3675CC" w14:textId="2892B02B" w:rsidR="008644D5" w:rsidRPr="00D03F93" w:rsidRDefault="008644D5" w:rsidP="00344135">
      <w:pPr>
        <w:pStyle w:val="Style1"/>
      </w:pPr>
      <w:r w:rsidRPr="00D03F93">
        <w:t>Therefore, the APDC cautions that this shift could lead to transactions being assessed adversely at an earlier stage of the analysis, before the concrete effects of the concentration have been fully characterised, on the basis of an abstract appreciation of the parties</w:t>
      </w:r>
      <w:r w:rsidR="002D7F99">
        <w:t>’</w:t>
      </w:r>
      <w:r w:rsidRPr="00D03F93">
        <w:t xml:space="preserve"> market power, without sufficiently demonstrating in what respect the concentration impairs the existing competitive situation.</w:t>
      </w:r>
    </w:p>
    <w:p w14:paraId="6C4D79B3" w14:textId="38930B86" w:rsidR="00391839" w:rsidRPr="00D03F93" w:rsidRDefault="00391839" w:rsidP="00B468B6">
      <w:pPr>
        <w:pStyle w:val="Sch1L8"/>
        <w:keepNext/>
        <w:ind w:firstLine="720"/>
      </w:pPr>
      <w:r w:rsidRPr="00D03F93">
        <w:t>High profit margins</w:t>
      </w:r>
    </w:p>
    <w:p w14:paraId="4B450554" w14:textId="77777777" w:rsidR="00AB4BF2" w:rsidRPr="00D03F93" w:rsidRDefault="00AB4BF2" w:rsidP="00AB4BF2">
      <w:pPr>
        <w:pStyle w:val="Firm1L1"/>
        <w:rPr>
          <w:kern w:val="2"/>
          <w:szCs w:val="22"/>
          <w:lang w:eastAsia="zh-CN"/>
          <w14:ligatures w14:val="standardContextual"/>
        </w:rPr>
      </w:pPr>
      <w:r w:rsidRPr="00D03F93">
        <w:t>First, the APDC is of the view that high margins, to the extent the Commission keeps this indicator in the Final Guidelines, should be treated, at most, as a contextual indicator requiring corroboration, and not as standalone evidence of market power</w:t>
      </w:r>
      <w:bookmarkStart w:id="1" w:name="_ftnref5"/>
      <w:r w:rsidRPr="00D03F93">
        <w:fldChar w:fldCharType="begin"/>
      </w:r>
      <w:r w:rsidRPr="00D03F93">
        <w:instrText>HYPERLINK "" \l "_ftn5" \o ""</w:instrText>
      </w:r>
      <w:r w:rsidRPr="00D03F93">
        <w:fldChar w:fldCharType="separate"/>
      </w:r>
      <w:r w:rsidRPr="00D03F93">
        <w:rPr>
          <w:rStyle w:val="FootnoteReference"/>
          <w:color w:val="000000"/>
          <w:u w:val="single"/>
        </w:rPr>
        <w:t>[5]</w:t>
      </w:r>
      <w:r w:rsidRPr="00D03F93">
        <w:fldChar w:fldCharType="end"/>
      </w:r>
      <w:bookmarkEnd w:id="1"/>
      <w:r w:rsidRPr="00D03F93">
        <w:t>.</w:t>
      </w:r>
    </w:p>
    <w:p w14:paraId="61ACAC56" w14:textId="21763D79" w:rsidR="00391839" w:rsidRPr="00D03F93" w:rsidRDefault="00391839" w:rsidP="0037427F">
      <w:pPr>
        <w:pStyle w:val="Style1"/>
      </w:pPr>
      <w:r w:rsidRPr="00D03F93">
        <w:t>Second, the APDC welcomes the Commission</w:t>
      </w:r>
      <w:r w:rsidR="002D7F99">
        <w:t>’</w:t>
      </w:r>
      <w:r w:rsidRPr="00D03F93">
        <w:t>s acknowledgement, in para. 70</w:t>
      </w:r>
      <w:r w:rsidR="00905E8B" w:rsidRPr="00D03F93">
        <w:t xml:space="preserve"> of the Draft Guidelines</w:t>
      </w:r>
      <w:r w:rsidRPr="00D03F93">
        <w:t xml:space="preserve">, that high margins may be </w:t>
      </w:r>
      <w:r w:rsidR="002D7F99">
        <w:t>“</w:t>
      </w:r>
      <w:r w:rsidRPr="00D03F93">
        <w:rPr>
          <w:i/>
          <w:iCs/>
        </w:rPr>
        <w:t>less likely to indicate market power if they are temporary, including where they reflect the outcome of research, innovation and risk-taking</w:t>
      </w:r>
      <w:r w:rsidR="002D7F99">
        <w:t>”</w:t>
      </w:r>
      <w:r w:rsidRPr="00D03F93">
        <w:t>.</w:t>
      </w:r>
    </w:p>
    <w:p w14:paraId="385C551B" w14:textId="77777777" w:rsidR="00391839" w:rsidRPr="00D03F93" w:rsidRDefault="00391839" w:rsidP="0037427F">
      <w:pPr>
        <w:pStyle w:val="Style1"/>
      </w:pPr>
      <w:r w:rsidRPr="00D03F93">
        <w:t>However, this qualification is too narrow. High margins may be a poor indicator of market power even where they are not temporary and even where they do not primarily reflect research, innovation or risk-taking.</w:t>
      </w:r>
    </w:p>
    <w:p w14:paraId="4939BBEF" w14:textId="77777777" w:rsidR="00391839" w:rsidRPr="00D03F93" w:rsidRDefault="00391839" w:rsidP="0037427F">
      <w:pPr>
        <w:pStyle w:val="Style1"/>
      </w:pPr>
      <w:r w:rsidRPr="00D03F93">
        <w:t>In particular, the Draft Guidelines</w:t>
      </w:r>
      <w:r w:rsidRPr="00D03F93" w:rsidDel="00DE5BF4">
        <w:t xml:space="preserve"> </w:t>
      </w:r>
      <w:r w:rsidRPr="00D03F93">
        <w:t>should recognise that high margins may arise from legitimate market characteristics or cost structures, including high fixed/low marginal costs, significant sunk investments, economies of scale or scope. Treating such margins as evidence of market power risks overstating the competitive significance of accounting margins and penalising efficient business models.</w:t>
      </w:r>
    </w:p>
    <w:p w14:paraId="46EB9278" w14:textId="6859E39E" w:rsidR="00391839" w:rsidRPr="00D03F93" w:rsidRDefault="00391839" w:rsidP="0037427F">
      <w:pPr>
        <w:pStyle w:val="Style1"/>
      </w:pPr>
      <w:r w:rsidRPr="00D03F93">
        <w:t>The APDC therefore suggests that para. 70</w:t>
      </w:r>
      <w:r w:rsidR="00905E8B" w:rsidRPr="00D03F93">
        <w:t xml:space="preserve"> of the Draft Guidelines</w:t>
      </w:r>
      <w:r w:rsidRPr="00D03F93">
        <w:t xml:space="preserve"> is broadened to clarify that high margins are less likely to indicate market power not only where they are temporary and innovation-related, but also where they reflect the economic characteristics of the market, the relevant cost structure, or efficiencies.</w:t>
      </w:r>
    </w:p>
    <w:p w14:paraId="565EECD8" w14:textId="1DDBEDD8" w:rsidR="00391839" w:rsidRPr="00D03F93" w:rsidRDefault="00391839" w:rsidP="0037427F">
      <w:pPr>
        <w:pStyle w:val="Style1"/>
      </w:pPr>
      <w:r w:rsidRPr="00D03F93">
        <w:t xml:space="preserve">Third, the Draft Guidelines provide no definition of what constitutes a </w:t>
      </w:r>
      <w:r w:rsidR="002D7F99">
        <w:t>“</w:t>
      </w:r>
      <w:r w:rsidRPr="00D03F93">
        <w:rPr>
          <w:i/>
          <w:iCs/>
        </w:rPr>
        <w:t>high</w:t>
      </w:r>
      <w:r w:rsidR="002D7F99">
        <w:t>”</w:t>
      </w:r>
      <w:r w:rsidRPr="00D03F93">
        <w:t xml:space="preserve"> profit margin for the purposes of para. 70, leaving notifying parties unable to assess their margin profile at the pre-notification stage with any reasonable degree of certainty. If margins are kept as an indicator in the </w:t>
      </w:r>
      <w:r w:rsidR="00FD7A23" w:rsidRPr="00D03F93">
        <w:t>Final</w:t>
      </w:r>
      <w:r w:rsidRPr="00D03F93">
        <w:t xml:space="preserve"> Guidelines, the Commission should specify, at minimum, a methodology to render this indicator operable in practice.</w:t>
      </w:r>
    </w:p>
    <w:p w14:paraId="12B0FFDA" w14:textId="194026C0" w:rsidR="00391839" w:rsidRPr="00D03F93" w:rsidRDefault="00391839" w:rsidP="0037427F">
      <w:pPr>
        <w:pStyle w:val="Style1"/>
      </w:pPr>
      <w:r w:rsidRPr="00D03F93">
        <w:t xml:space="preserve">Para. 72 </w:t>
      </w:r>
      <w:r w:rsidR="00905E8B" w:rsidRPr="00D03F93">
        <w:t xml:space="preserve">of the Draft Guidelines </w:t>
      </w:r>
      <w:r w:rsidRPr="00D03F93">
        <w:t xml:space="preserve">suggests comparing margins with those observed in more competitive markets or among peers. The APDC considers that such benchmarking should only be used where the comparator is demonstrably similar </w:t>
      </w:r>
      <w:proofErr w:type="gramStart"/>
      <w:r w:rsidRPr="00D03F93">
        <w:t>and also</w:t>
      </w:r>
      <w:proofErr w:type="gramEnd"/>
      <w:r w:rsidRPr="00D03F93">
        <w:t xml:space="preserve"> raises the Commission</w:t>
      </w:r>
      <w:r w:rsidR="002D7F99">
        <w:t>’</w:t>
      </w:r>
      <w:r w:rsidRPr="00D03F93">
        <w:t xml:space="preserve">s attention to the complexity of such </w:t>
      </w:r>
      <w:r w:rsidR="003E4A81">
        <w:t xml:space="preserve">a </w:t>
      </w:r>
      <w:r w:rsidRPr="00D03F93">
        <w:t>demonstration</w:t>
      </w:r>
      <w:r w:rsidR="003E4A81">
        <w:t>,</w:t>
      </w:r>
      <w:r w:rsidRPr="00D03F93">
        <w:t xml:space="preserve"> which should implement a robust benchmark </w:t>
      </w:r>
      <w:proofErr w:type="gramStart"/>
      <w:r w:rsidRPr="00D03F93">
        <w:t>in order to</w:t>
      </w:r>
      <w:proofErr w:type="gramEnd"/>
      <w:r w:rsidRPr="00D03F93">
        <w:t xml:space="preserve"> draw conclusions from a margin analysis.</w:t>
      </w:r>
    </w:p>
    <w:p w14:paraId="2B53F875" w14:textId="77777777" w:rsidR="00391839" w:rsidRPr="00D03F93" w:rsidRDefault="00391839" w:rsidP="0037427F">
      <w:pPr>
        <w:pStyle w:val="Style1"/>
      </w:pPr>
      <w:r w:rsidRPr="00D03F93">
        <w:t xml:space="preserve">Fourth, in innovation-intensive sectors – including pharmaceuticals, digital platforms, or advanced technology – high profit margins may reflect legitimate returns on prior </w:t>
      </w:r>
      <w:r w:rsidRPr="00D03F93">
        <w:lastRenderedPageBreak/>
        <w:t>risk-taking and investment, rather than the absence of competitive constraint. The Draft Guidelines should include an explicit caveat that margin analysis must be complemented by forward-looking evidence on competitive dynamics, investment trajectories, and the nature of competitive constraints over a prospective time horizon.</w:t>
      </w:r>
    </w:p>
    <w:p w14:paraId="4F6F6510" w14:textId="0076C4F7" w:rsidR="00391839" w:rsidRPr="00D03F93" w:rsidRDefault="00391839" w:rsidP="0037427F">
      <w:pPr>
        <w:pStyle w:val="Style1"/>
      </w:pPr>
      <w:r w:rsidRPr="00D03F93">
        <w:t>Fifth, paras. 70</w:t>
      </w:r>
      <w:r w:rsidR="00B9283A" w:rsidRPr="00D03F93">
        <w:t xml:space="preserve"> to </w:t>
      </w:r>
      <w:r w:rsidRPr="00D03F93">
        <w:t xml:space="preserve">74 </w:t>
      </w:r>
      <w:r w:rsidR="00E62A8A" w:rsidRPr="00D03F93">
        <w:t xml:space="preserve">of the Draft Guidelines </w:t>
      </w:r>
      <w:r w:rsidRPr="00D03F93">
        <w:t>reference standard accounting metrics – EBIT, EBITDA, ROCE, and ROE – without acknowledging the divergence between accounting and economic profit margins or the limitations of those metrics as proxies for competitive profitability. The Commission should require that margin analysis account for the opportunity cost of capital and the economic life of intangible investments, or at minimum direct case teams to disclose the methodology employed and its known limitations.</w:t>
      </w:r>
    </w:p>
    <w:p w14:paraId="7F84F85E" w14:textId="4314F72E" w:rsidR="00391839" w:rsidRPr="00D03F93" w:rsidRDefault="00391839" w:rsidP="0037427F">
      <w:pPr>
        <w:pStyle w:val="Style1"/>
      </w:pPr>
      <w:r w:rsidRPr="00D03F93">
        <w:t>Finally, the APDC is concerned that para</w:t>
      </w:r>
      <w:r w:rsidR="002861E7" w:rsidRPr="00D03F93">
        <w:t>s</w:t>
      </w:r>
      <w:r w:rsidRPr="00D03F93">
        <w:t>. 70 to 74</w:t>
      </w:r>
      <w:r w:rsidR="00E62A8A" w:rsidRPr="00D03F93">
        <w:t xml:space="preserve"> of the Draft Guidelines</w:t>
      </w:r>
      <w:r w:rsidRPr="00D03F93">
        <w:t xml:space="preserve"> risk establishing an asymmetrical analytical framework that undermines legal certainty and evidentiary discipline. Specifically, while para. 73 implies that high industry-wide margins indicate barriers to competition, para. 74 conversely suggests that market power may exist even where margins are low. By treating both high and low margins as potentially indicative of market power, the APDC is of the view that the Draft Guidelines fail to provide a coherent, predictable standard.</w:t>
      </w:r>
    </w:p>
    <w:p w14:paraId="2B391B05" w14:textId="7C2DDE4E" w:rsidR="00391839" w:rsidRPr="00D03F93" w:rsidRDefault="00391839" w:rsidP="00B468B6">
      <w:pPr>
        <w:pStyle w:val="Sch1L8"/>
        <w:ind w:firstLine="720"/>
      </w:pPr>
      <w:r w:rsidRPr="00D03F93">
        <w:t>High barriers to competition</w:t>
      </w:r>
    </w:p>
    <w:p w14:paraId="48CE65CF" w14:textId="0652FDD5" w:rsidR="00391839" w:rsidRPr="00D03F93" w:rsidRDefault="00391839" w:rsidP="00B468B6">
      <w:pPr>
        <w:pStyle w:val="Sch1L9"/>
        <w:ind w:firstLine="720"/>
      </w:pPr>
      <w:r w:rsidRPr="00D03F93">
        <w:t>Limited switching possibilities</w:t>
      </w:r>
    </w:p>
    <w:p w14:paraId="31248B9E" w14:textId="60315B93" w:rsidR="00391839" w:rsidRPr="00D03F93" w:rsidRDefault="00391839" w:rsidP="0037427F">
      <w:pPr>
        <w:pStyle w:val="Style1"/>
      </w:pPr>
      <w:r w:rsidRPr="00D03F93">
        <w:t xml:space="preserve">The APDC agrees that limited switching possibilities may be relevant to assess market power in certain circumstances. However, the factors listed in para. 76 </w:t>
      </w:r>
      <w:r w:rsidR="00905E8B" w:rsidRPr="00D03F93">
        <w:t xml:space="preserve">of the Draft Guidelines </w:t>
      </w:r>
      <w:r w:rsidRPr="00D03F93">
        <w:t>should not be treated as automatic indicators of market power.</w:t>
      </w:r>
    </w:p>
    <w:p w14:paraId="620D08EF" w14:textId="77777777" w:rsidR="00391839" w:rsidRPr="00D03F93" w:rsidRDefault="00391839" w:rsidP="0037427F">
      <w:pPr>
        <w:pStyle w:val="Style1"/>
      </w:pPr>
      <w:r w:rsidRPr="00D03F93">
        <w:t>For example, switching costs or delays may be rational and efficiency-enhancing. The Draft Guidelines should distinguish between switching costs that restrict contestability and legitimate costs linked to quality assurance or supply continuity.</w:t>
      </w:r>
    </w:p>
    <w:p w14:paraId="291C9F2E" w14:textId="77777777" w:rsidR="00391839" w:rsidRPr="00D03F93" w:rsidRDefault="00391839" w:rsidP="0037427F">
      <w:pPr>
        <w:pStyle w:val="Style1"/>
      </w:pPr>
      <w:r w:rsidRPr="00D03F93">
        <w:t>For switching delays, the Commission should also assess whether switching is feasible e.g., at contract renewal points, rather than inferring market power from the absence of immediate switching.</w:t>
      </w:r>
    </w:p>
    <w:p w14:paraId="4A135FD5" w14:textId="2E11C502" w:rsidR="00391839" w:rsidRPr="00D03F93" w:rsidRDefault="00391839" w:rsidP="0037427F">
      <w:pPr>
        <w:pStyle w:val="Style1"/>
      </w:pPr>
      <w:r w:rsidRPr="00D03F93">
        <w:t xml:space="preserve">As regards regulatory requirements, the APDC notes that regulation may restrict entry, but may also constrain market power through price controls, quality obligations, or licensing conditions. The Commission should therefore assess the </w:t>
      </w:r>
      <w:r w:rsidR="002D7F99">
        <w:t>“</w:t>
      </w:r>
      <w:r w:rsidRPr="00D03F93">
        <w:rPr>
          <w:i/>
          <w:iCs/>
        </w:rPr>
        <w:t>net competitive effect</w:t>
      </w:r>
      <w:r w:rsidR="002D7F99">
        <w:t>”</w:t>
      </w:r>
      <w:r w:rsidRPr="00D03F93">
        <w:t xml:space="preserve"> of regulations.</w:t>
      </w:r>
    </w:p>
    <w:p w14:paraId="08B6023E" w14:textId="7ABF96F8" w:rsidR="00B468B6" w:rsidRPr="00EA3F70" w:rsidRDefault="00391839" w:rsidP="00EA3F70">
      <w:pPr>
        <w:pStyle w:val="Style1"/>
        <w:rPr>
          <w:b/>
          <w:bCs/>
          <w:i/>
          <w:iCs/>
        </w:rPr>
      </w:pPr>
      <w:r w:rsidRPr="00D03F93">
        <w:t xml:space="preserve">The APDC also notes that the Draft Guidelines replace the concept of dual sourcing, as it appeared in the Horizontal Guidelines (para. 31), with the broader concept of multi-sourcing (para. 76(d)). While dual sourcing referred to situations in which customers simultaneously sourced from both parties to the transaction, the Commission now focuses on the preference of certain customers for maintaining multiple suppliers. Under this approach, a concentration </w:t>
      </w:r>
      <w:r w:rsidR="009A6E08" w:rsidRPr="00D03F93">
        <w:t xml:space="preserve">could </w:t>
      </w:r>
      <w:r w:rsidRPr="00D03F93">
        <w:t>become problematic where it reduces customers</w:t>
      </w:r>
      <w:r w:rsidR="002D7F99">
        <w:t>’</w:t>
      </w:r>
      <w:r w:rsidRPr="00D03F93">
        <w:t xml:space="preserve"> ability to preserve that diversity of supply sources. While this approach may be justified in certain concentrated markets where supplier diversity is a matter of </w:t>
      </w:r>
      <w:r w:rsidRPr="00D03F93">
        <w:lastRenderedPageBreak/>
        <w:t>security or resilience, its practical application remains uncertain in the absence of further guidance on the conditions under which this criterion will be applied.</w:t>
      </w:r>
    </w:p>
    <w:p w14:paraId="77373AC8" w14:textId="79428A06" w:rsidR="00391839" w:rsidRPr="00D03F93" w:rsidRDefault="00391839" w:rsidP="00B468B6">
      <w:pPr>
        <w:pStyle w:val="Sch1L9"/>
        <w:ind w:firstLine="720"/>
      </w:pPr>
      <w:r w:rsidRPr="00D03F93">
        <w:t>High and durable barriers to entry and expansion</w:t>
      </w:r>
    </w:p>
    <w:p w14:paraId="1CD6F01D" w14:textId="3C4A907D" w:rsidR="00391839" w:rsidRPr="00D03F93" w:rsidRDefault="00391839" w:rsidP="0037427F">
      <w:pPr>
        <w:pStyle w:val="Style1"/>
      </w:pPr>
      <w:r w:rsidRPr="00D03F93">
        <w:t>The APDC does not deny that high and durable barriers to entry and expansion are relevant to the assessment of market power. However, para. 79</w:t>
      </w:r>
      <w:r w:rsidR="00C53688" w:rsidRPr="00D03F93">
        <w:t xml:space="preserve"> of the Draft Guidelines</w:t>
      </w:r>
      <w:r w:rsidRPr="00D03F93">
        <w:t xml:space="preserve"> lists numerous factors that may also reflect legitimate competitive advantages. The APDC provides below some examples.</w:t>
      </w:r>
    </w:p>
    <w:p w14:paraId="7CC639E9" w14:textId="230F9F9B" w:rsidR="00391839" w:rsidRPr="00D03F93" w:rsidRDefault="00391839" w:rsidP="0037427F">
      <w:pPr>
        <w:pStyle w:val="Style1"/>
      </w:pPr>
      <w:r w:rsidRPr="00D03F93">
        <w:t>As regards para. 79(a), the Draft Guidelines should distinguish between barriers to entry and legitimate advantages such as economies of scale, innovation capabilities, intellectual property rights, distribution networks, data assets or access to skilled personnel. Such factors should only be relevant where rivals cannot realistically replicate them, work around them or otherwise exert effective competitive pressure. In the APDC</w:t>
      </w:r>
      <w:r w:rsidR="002D7F99">
        <w:t>’</w:t>
      </w:r>
      <w:r w:rsidRPr="00D03F93">
        <w:t>s view, the Commission should bear the evidentiary burden of demonstrating how a given market feature can constitute a barrier to entry or expansion, relying on both qualitative and quantitative evidence.</w:t>
      </w:r>
    </w:p>
    <w:p w14:paraId="5BA89462" w14:textId="77777777" w:rsidR="00391839" w:rsidRPr="00D03F93" w:rsidRDefault="00391839" w:rsidP="0037427F">
      <w:pPr>
        <w:pStyle w:val="Style1"/>
      </w:pPr>
      <w:r w:rsidRPr="00D03F93">
        <w:t>For example, IP rights should not be treated as barriers in themselves. The Commission should assess whether the relevant IP is essential, non-substitutable and capable of preventing effective entry or expansion, while recognizing its role in incentivizing innovation.</w:t>
      </w:r>
    </w:p>
    <w:p w14:paraId="6D514D70" w14:textId="77777777" w:rsidR="00391839" w:rsidRPr="00D03F93" w:rsidRDefault="00391839" w:rsidP="0037427F">
      <w:pPr>
        <w:pStyle w:val="Style1"/>
      </w:pPr>
      <w:r w:rsidRPr="00D03F93">
        <w:t xml:space="preserve">Similarly, for ecosystems and portfolio effects, the Commission should bear the burden of establishing that the advantages held by the incumbents cannot be replicated </w:t>
      </w:r>
      <w:proofErr w:type="gramStart"/>
      <w:r w:rsidRPr="00D03F93">
        <w:t>and also</w:t>
      </w:r>
      <w:proofErr w:type="gramEnd"/>
      <w:r w:rsidRPr="00D03F93">
        <w:t xml:space="preserve"> clarify the standard of proof applicable as this is a new concept.</w:t>
      </w:r>
    </w:p>
    <w:p w14:paraId="6314B9B9" w14:textId="774CF774" w:rsidR="00391839" w:rsidRPr="00D03F93" w:rsidRDefault="00391839" w:rsidP="00D7655C">
      <w:pPr>
        <w:pStyle w:val="Style1"/>
      </w:pPr>
      <w:r w:rsidRPr="00D03F93">
        <w:t>As regards paras. 76(c) and 79(b), the Draft Guidelines introduce factors specific to digital markets, including network effects, interoperability and the multi-sided nature of platforms. These factors are addressed transversally, both as barriers capable of limiting customers</w:t>
      </w:r>
      <w:r w:rsidR="002D7F99">
        <w:t>’</w:t>
      </w:r>
      <w:r w:rsidRPr="00D03F93">
        <w:t xml:space="preserve"> ability to switch supplier and as barriers to entry for new competitors. </w:t>
      </w:r>
      <w:r w:rsidR="00D7655C" w:rsidRPr="00D03F93">
        <w:t xml:space="preserve">We take note of </w:t>
      </w:r>
      <w:proofErr w:type="gramStart"/>
      <w:r w:rsidR="00D7655C" w:rsidRPr="00D03F93">
        <w:t>this</w:t>
      </w:r>
      <w:proofErr w:type="gramEnd"/>
      <w:r w:rsidR="00D7655C" w:rsidRPr="00D03F93">
        <w:t xml:space="preserve"> but the APDC would welcome a methodology</w:t>
      </w:r>
      <w:r w:rsidRPr="00D03F93">
        <w:t xml:space="preserve"> to clarify their concrete application. At a minimum, the Draft Guidelines should specify the circumstances in which these criteria are likely to be applied, as well as those in which they are expected to play a determinative role in the assessment of market power or the effects of a transaction.</w:t>
      </w:r>
    </w:p>
    <w:p w14:paraId="2D25C7BF" w14:textId="2BFFAAAF" w:rsidR="00391839" w:rsidRPr="00D03F93" w:rsidRDefault="00391839" w:rsidP="0037427F">
      <w:pPr>
        <w:pStyle w:val="Style1"/>
      </w:pPr>
      <w:r w:rsidRPr="00D03F93">
        <w:t>As regards para. 79(e)</w:t>
      </w:r>
      <w:r w:rsidR="002E7B57" w:rsidRPr="00D03F93">
        <w:t xml:space="preserve"> of the Draft Guidelines</w:t>
      </w:r>
      <w:r w:rsidRPr="00D03F93">
        <w:t>, the APDC is concerned that practices such as limit pricing, excess capacity, IP enforcement or loyalty rebates may be treated as barriers despite being lawful or pro-competitive in many circumstances. They should only be relevant where there is evidence that they materially foreclose equally efficient rivals or deter timely and sufficient entry or expansion.</w:t>
      </w:r>
    </w:p>
    <w:p w14:paraId="1D6CC68D" w14:textId="06B6533F" w:rsidR="00391839" w:rsidRPr="00D03F93" w:rsidRDefault="00391839" w:rsidP="0053223C">
      <w:pPr>
        <w:pStyle w:val="Sch1L8"/>
        <w:ind w:firstLine="720"/>
      </w:pPr>
      <w:r w:rsidRPr="00D03F93">
        <w:t>Conclusion</w:t>
      </w:r>
    </w:p>
    <w:p w14:paraId="7109D2BB" w14:textId="2AA8E32D" w:rsidR="00391839" w:rsidRPr="00D03F93" w:rsidRDefault="00391839" w:rsidP="0037427F">
      <w:pPr>
        <w:pStyle w:val="Style1"/>
      </w:pPr>
      <w:r w:rsidRPr="00D03F93">
        <w:t xml:space="preserve">In conclusion, while the </w:t>
      </w:r>
      <w:r w:rsidR="002B6674" w:rsidRPr="00D03F93">
        <w:t>Draft Guidelines</w:t>
      </w:r>
      <w:r w:rsidR="0020424E">
        <w:t xml:space="preserve"> </w:t>
      </w:r>
      <w:r w:rsidRPr="00D03F93">
        <w:t>demonstrate a clear intention to adapt merger control to contemporary economic developments – whether in digital markets, supply chain resilience, or sustainability challenges – this modernization comes at the cost of reduced predictability in the analytical framework.</w:t>
      </w:r>
    </w:p>
    <w:p w14:paraId="46908DD6" w14:textId="75739F85" w:rsidR="002861E7" w:rsidRPr="00D03F93" w:rsidRDefault="00391839" w:rsidP="00D7655C">
      <w:pPr>
        <w:pStyle w:val="Style1"/>
      </w:pPr>
      <w:r w:rsidRPr="00D03F93">
        <w:lastRenderedPageBreak/>
        <w:t xml:space="preserve">The proliferation of relevant criteria is not accompanied by the methodological precision necessary for their implementation. The APDC therefore </w:t>
      </w:r>
      <w:r w:rsidR="00D7655C" w:rsidRPr="00D03F93">
        <w:t>invite</w:t>
      </w:r>
      <w:r w:rsidR="00B74621" w:rsidRPr="00D03F93">
        <w:t>s</w:t>
      </w:r>
      <w:r w:rsidR="00D7655C" w:rsidRPr="00D03F93">
        <w:t xml:space="preserve"> </w:t>
      </w:r>
      <w:r w:rsidRPr="00D03F93">
        <w:t xml:space="preserve">the Commission to complement </w:t>
      </w:r>
      <w:r w:rsidR="00D7655C" w:rsidRPr="00D03F93">
        <w:t xml:space="preserve">the Final Guidelines </w:t>
      </w:r>
      <w:r w:rsidRPr="00D03F93">
        <w:t xml:space="preserve">with </w:t>
      </w:r>
      <w:r w:rsidR="00622639" w:rsidRPr="00D03F93">
        <w:t xml:space="preserve">a </w:t>
      </w:r>
      <w:r w:rsidRPr="00D03F93">
        <w:t>clear methodological guidance that enables undertakings and their advisers to anticipate, with reasonable certainty, the analytical approach that will be applied to notified transactions.</w:t>
      </w:r>
    </w:p>
    <w:p w14:paraId="3CA61705" w14:textId="3EC19CD5" w:rsidR="00391839" w:rsidRPr="00D03F93" w:rsidRDefault="00391839" w:rsidP="006340E6">
      <w:pPr>
        <w:pStyle w:val="Firm5L3"/>
      </w:pPr>
      <w:r w:rsidRPr="00D03F93">
        <w:t>Dynamic competitive potential</w:t>
      </w:r>
    </w:p>
    <w:p w14:paraId="4ACDEC7D" w14:textId="3A652520" w:rsidR="00391839" w:rsidRPr="00D03F93" w:rsidRDefault="00391839" w:rsidP="0037427F">
      <w:pPr>
        <w:pStyle w:val="Style1"/>
      </w:pPr>
      <w:r w:rsidRPr="00D03F93">
        <w:t xml:space="preserve">Paras. 80 to 83 of the Draft Guidelines introduce the concept of </w:t>
      </w:r>
      <w:r w:rsidR="002D7F99">
        <w:t>“</w:t>
      </w:r>
      <w:r w:rsidRPr="00D03F93">
        <w:rPr>
          <w:i/>
          <w:iCs/>
        </w:rPr>
        <w:t>dynamic competitive potential</w:t>
      </w:r>
      <w:r w:rsidR="002D7F99">
        <w:t>”</w:t>
      </w:r>
      <w:r w:rsidRPr="00D03F93">
        <w:t xml:space="preserve"> as a complement to the traditional static assessment of market power. This development is a welcome and necessary evolution</w:t>
      </w:r>
      <w:r w:rsidR="00F12031" w:rsidRPr="00D03F93">
        <w:t xml:space="preserve"> as it better</w:t>
      </w:r>
      <w:r w:rsidRPr="00D03F93">
        <w:t xml:space="preserve"> </w:t>
      </w:r>
      <w:r w:rsidR="004E2B9D" w:rsidRPr="00D03F93">
        <w:t>reflects economic reality</w:t>
      </w:r>
      <w:r w:rsidRPr="00D03F93">
        <w:t xml:space="preserve">. </w:t>
      </w:r>
      <w:r w:rsidR="004E2B9D" w:rsidRPr="00D03F93">
        <w:t>That said, the APDC submits a few s</w:t>
      </w:r>
      <w:r w:rsidRPr="00D03F93">
        <w:t>uggestions to refine its application in a manner that promotes legal certainty and avoids unintended adverse consequences.</w:t>
      </w:r>
    </w:p>
    <w:p w14:paraId="58F650CC" w14:textId="2F7E87E1" w:rsidR="00391839" w:rsidRPr="00D03F93" w:rsidRDefault="00391839" w:rsidP="0053223C">
      <w:pPr>
        <w:pStyle w:val="Sch1L8"/>
        <w:ind w:left="720"/>
      </w:pPr>
      <w:r w:rsidRPr="00D03F93">
        <w:t xml:space="preserve">Broadening the scope of dynamic assessment beyond </w:t>
      </w:r>
      <w:r w:rsidR="002D7F99">
        <w:t>“</w:t>
      </w:r>
      <w:r w:rsidRPr="00D03F93">
        <w:t>some industries</w:t>
      </w:r>
      <w:r w:rsidR="002D7F99">
        <w:t>”</w:t>
      </w:r>
      <w:r w:rsidRPr="00D03F93">
        <w:t xml:space="preserve"> to all markets where static shares are inadequate</w:t>
      </w:r>
    </w:p>
    <w:p w14:paraId="3B8E53A1" w14:textId="7F21A7E9" w:rsidR="004E2B9D" w:rsidRPr="00D03F93" w:rsidRDefault="00391839" w:rsidP="00585DEC">
      <w:pPr>
        <w:pStyle w:val="Style1"/>
      </w:pPr>
      <w:r w:rsidRPr="00D03F93">
        <w:t xml:space="preserve">The Commission rightly acknowledges that </w:t>
      </w:r>
      <w:r w:rsidR="002D7F99">
        <w:t>“</w:t>
      </w:r>
      <w:r w:rsidRPr="00D03F93">
        <w:rPr>
          <w:i/>
          <w:iCs/>
        </w:rPr>
        <w:t>a static assessment of market power does not fully capture a firm</w:t>
      </w:r>
      <w:r w:rsidR="002D7F99">
        <w:rPr>
          <w:i/>
          <w:iCs/>
        </w:rPr>
        <w:t>’</w:t>
      </w:r>
      <w:r w:rsidRPr="00D03F93">
        <w:rPr>
          <w:i/>
          <w:iCs/>
        </w:rPr>
        <w:t>s competitive strengths and weaknesses from a dynamic perspective</w:t>
      </w:r>
      <w:r w:rsidR="002D7F99">
        <w:t>”</w:t>
      </w:r>
      <w:r w:rsidRPr="00D03F93">
        <w:t xml:space="preserve">. </w:t>
      </w:r>
      <w:r w:rsidR="004E2B9D" w:rsidRPr="00D03F93">
        <w:t xml:space="preserve">This principle should apply as a general presumption across all sectors, not merely in </w:t>
      </w:r>
      <w:r w:rsidR="002D7F99">
        <w:t>“</w:t>
      </w:r>
      <w:r w:rsidRPr="00D03F93">
        <w:rPr>
          <w:i/>
          <w:iCs/>
        </w:rPr>
        <w:t>some industries or markets</w:t>
      </w:r>
      <w:r w:rsidR="002D7F99">
        <w:t>”</w:t>
      </w:r>
      <w:r w:rsidRPr="00D03F93">
        <w:t xml:space="preserve">. </w:t>
      </w:r>
      <w:r w:rsidR="00585DEC" w:rsidRPr="00D03F93">
        <w:t>The APDC therefore</w:t>
      </w:r>
      <w:r w:rsidRPr="00D03F93">
        <w:t xml:space="preserve"> recommend</w:t>
      </w:r>
      <w:r w:rsidR="00585DEC" w:rsidRPr="00D03F93">
        <w:t>s</w:t>
      </w:r>
      <w:r w:rsidRPr="00D03F93">
        <w:t xml:space="preserve"> broadening the language to state that the Commission </w:t>
      </w:r>
      <w:r w:rsidR="002D7F99">
        <w:t>“</w:t>
      </w:r>
      <w:r w:rsidRPr="00D03F93">
        <w:rPr>
          <w:i/>
          <w:iCs/>
        </w:rPr>
        <w:t>will consider dynamic competitive potential in any case where a static assessment of market shares may not adequately reflect the competitive dynamics at play</w:t>
      </w:r>
      <w:r w:rsidR="002D7F99">
        <w:t>”</w:t>
      </w:r>
      <w:r w:rsidR="00843EB9" w:rsidRPr="00D03F93">
        <w:t>.</w:t>
      </w:r>
    </w:p>
    <w:p w14:paraId="52501CC7" w14:textId="3496BF10" w:rsidR="00391839" w:rsidRPr="00D03F93" w:rsidRDefault="00391839" w:rsidP="0053223C">
      <w:pPr>
        <w:pStyle w:val="Sch1L8"/>
        <w:ind w:firstLine="720"/>
      </w:pPr>
      <w:r w:rsidRPr="00D03F93">
        <w:t>Clarifying the two-sided nature of dynamic competitive potential</w:t>
      </w:r>
    </w:p>
    <w:p w14:paraId="7C5B379A" w14:textId="5B087794" w:rsidR="00391839" w:rsidRPr="00D03F93" w:rsidRDefault="00391839" w:rsidP="004E2B9D">
      <w:pPr>
        <w:pStyle w:val="Style1"/>
      </w:pPr>
      <w:r w:rsidRPr="00D03F93">
        <w:t>As noted in footnote 136</w:t>
      </w:r>
      <w:r w:rsidR="00C668B6" w:rsidRPr="00D03F93">
        <w:t xml:space="preserve"> of the Draft Guidelines</w:t>
      </w:r>
      <w:r w:rsidRPr="00D03F93">
        <w:t xml:space="preserve">, a static assessment may fail to capture both competitive strengths (e.g., when products are not yet commercialised) and competitive weaknesses (e.g., when firms have relatively high market shares but lack sufficient dynamic competitive potential). This is an important and balanced acknowledgment. However, the main text of para. 80 </w:t>
      </w:r>
      <w:r w:rsidR="002E7B57" w:rsidRPr="00D03F93">
        <w:t xml:space="preserve">of the Draft Guidelines </w:t>
      </w:r>
      <w:r w:rsidRPr="00D03F93">
        <w:t xml:space="preserve">does not sufficiently emphasise this two-sided nature. </w:t>
      </w:r>
      <w:r w:rsidR="004E2B9D" w:rsidRPr="00D03F93">
        <w:t>In practice, the concept risks being deployed as a sword – to challenge mergers involving firms with low current shares but perceived dynamic strength – rather than as a shield for firms with high shares but declining potential. Para. 80 should therefore explicitly state that dynamic competitive potential may both increase </w:t>
      </w:r>
      <w:r w:rsidR="004E2B9D" w:rsidRPr="00D03F93">
        <w:rPr>
          <w:i/>
          <w:iCs/>
        </w:rPr>
        <w:t>and</w:t>
      </w:r>
      <w:r w:rsidR="004E2B9D" w:rsidRPr="00D03F93">
        <w:t> decrease the assessment of a firm</w:t>
      </w:r>
      <w:r w:rsidR="002D7F99">
        <w:t>’</w:t>
      </w:r>
      <w:r w:rsidR="004E2B9D" w:rsidRPr="00D03F93">
        <w:t>s market power, and that firms with high static shares may benefit from showing that their dynamic potential is limited. This symmetry should be a core principle</w:t>
      </w:r>
      <w:r w:rsidRPr="00D03F93">
        <w:t>.</w:t>
      </w:r>
    </w:p>
    <w:p w14:paraId="527105B5" w14:textId="143F5D44" w:rsidR="00391839" w:rsidRPr="00D03F93" w:rsidRDefault="00391839" w:rsidP="00157DF7">
      <w:pPr>
        <w:pStyle w:val="Sch1L8"/>
        <w:ind w:left="720"/>
      </w:pPr>
      <w:r w:rsidRPr="00D03F93">
        <w:t>Consistency with the assessment of dynamic efficiencies</w:t>
      </w:r>
    </w:p>
    <w:p w14:paraId="594127AF" w14:textId="6EE0491F" w:rsidR="00391839" w:rsidRPr="00D03F93" w:rsidRDefault="00391839" w:rsidP="004E2B9D">
      <w:pPr>
        <w:pStyle w:val="Style1"/>
      </w:pPr>
      <w:r w:rsidRPr="00D03F93">
        <w:t xml:space="preserve">The two-sided nature of dynamic competitive potential should also be reflected in the interaction between this section and the </w:t>
      </w:r>
      <w:r w:rsidR="004E2B9D" w:rsidRPr="00D03F93">
        <w:t>one</w:t>
      </w:r>
      <w:r w:rsidRPr="00D03F93">
        <w:t xml:space="preserve"> on dynamic efficiencies. If dynamic factors can be relied upon to assess a firm</w:t>
      </w:r>
      <w:r w:rsidR="002D7F99">
        <w:t>’</w:t>
      </w:r>
      <w:r w:rsidRPr="00D03F93">
        <w:t xml:space="preserve">s future competitive strength, the Draft Guidelines should </w:t>
      </w:r>
      <w:r w:rsidR="004E2B9D" w:rsidRPr="00D03F93">
        <w:t>equally</w:t>
      </w:r>
      <w:r w:rsidRPr="00D03F93">
        <w:t xml:space="preserve"> recognise</w:t>
      </w:r>
      <w:r w:rsidR="004E2B9D" w:rsidRPr="00D03F93">
        <w:t xml:space="preserve"> such factors where the parties show the transaction enhances their ability or incentive to innovate – for example, by combining complementary assets, improving access to financing, reducing time-to-market, enabling more efficient R&amp;D allocation, or facilitating commercialisation of an innovative product. This would ensure dynamic competitive potential does not become a one-way ratchet that increases </w:t>
      </w:r>
      <w:r w:rsidR="004E2B9D" w:rsidRPr="00D03F93">
        <w:lastRenderedPageBreak/>
        <w:t>concerns where dynamic factors point to future strength while giving insufficient weight to factors supporting pro-competitive effects</w:t>
      </w:r>
      <w:r w:rsidRPr="00D03F93">
        <w:t>.</w:t>
      </w:r>
    </w:p>
    <w:p w14:paraId="339C466F" w14:textId="5DE9C754" w:rsidR="00391839" w:rsidRPr="00D03F93" w:rsidRDefault="00391839" w:rsidP="00A310B8">
      <w:pPr>
        <w:pStyle w:val="Sch1L8"/>
        <w:keepNext/>
        <w:ind w:firstLine="720"/>
      </w:pPr>
      <w:r w:rsidRPr="00D03F93">
        <w:t>Overly broad and open-ended list of factors</w:t>
      </w:r>
    </w:p>
    <w:p w14:paraId="0D46CC58" w14:textId="2C6DE2E8" w:rsidR="00391839" w:rsidRPr="00D03F93" w:rsidRDefault="00391839" w:rsidP="0037427F">
      <w:pPr>
        <w:pStyle w:val="Style1"/>
      </w:pPr>
      <w:r w:rsidRPr="00D03F93">
        <w:t>Para. 81</w:t>
      </w:r>
      <w:r w:rsidR="005955F4" w:rsidRPr="00D03F93">
        <w:t xml:space="preserve"> of the Draft Guidelines</w:t>
      </w:r>
      <w:r w:rsidRPr="00D03F93">
        <w:t xml:space="preserve"> provides an extensive and non-exhaustive list of innovation-related factors</w:t>
      </w:r>
      <w:r w:rsidR="00161B99" w:rsidRPr="00D03F93">
        <w:t xml:space="preserve">, creating </w:t>
      </w:r>
      <w:r w:rsidRPr="00D03F93">
        <w:t>significant legal uncertainty for merging parties</w:t>
      </w:r>
      <w:r w:rsidR="00161B99" w:rsidRPr="00D03F93">
        <w:t xml:space="preserve"> since </w:t>
      </w:r>
      <w:r w:rsidRPr="00D03F93">
        <w:t xml:space="preserve">businesses </w:t>
      </w:r>
      <w:r w:rsidR="00161B99" w:rsidRPr="00D03F93">
        <w:t>cannot</w:t>
      </w:r>
      <w:r w:rsidRPr="00D03F93">
        <w:t xml:space="preserve"> predict which factors the Commission will prioritise </w:t>
      </w:r>
      <w:proofErr w:type="gramStart"/>
      <w:r w:rsidRPr="00D03F93">
        <w:t>in a given</w:t>
      </w:r>
      <w:proofErr w:type="gramEnd"/>
      <w:r w:rsidRPr="00D03F93">
        <w:t xml:space="preserve"> case and how they will be </w:t>
      </w:r>
      <w:proofErr w:type="spellStart"/>
      <w:r w:rsidRPr="00D03F93">
        <w:t>weighted</w:t>
      </w:r>
      <w:proofErr w:type="spellEnd"/>
      <w:r w:rsidRPr="00D03F93">
        <w:t xml:space="preserve"> against one another.</w:t>
      </w:r>
    </w:p>
    <w:p w14:paraId="701A1266" w14:textId="7D4AC223" w:rsidR="00391839" w:rsidRPr="00D03F93" w:rsidRDefault="00391839" w:rsidP="00757792">
      <w:pPr>
        <w:pStyle w:val="Style1"/>
      </w:pPr>
      <w:r w:rsidRPr="00D03F93">
        <w:t xml:space="preserve">The Draft Guidelines should provide clearer guidance on how the Commission will prioritise among these factors </w:t>
      </w:r>
      <w:r w:rsidR="00161B99" w:rsidRPr="00D03F93">
        <w:t>with clear criteria in order</w:t>
      </w:r>
      <w:r w:rsidRPr="00D03F93">
        <w:t xml:space="preserve"> avoid </w:t>
      </w:r>
      <w:r w:rsidR="002D7F99">
        <w:t>“</w:t>
      </w:r>
      <w:r w:rsidRPr="00D03F93">
        <w:rPr>
          <w:i/>
          <w:iCs/>
        </w:rPr>
        <w:t>cherry-picking</w:t>
      </w:r>
      <w:r w:rsidR="002D7F99">
        <w:t>”</w:t>
      </w:r>
      <w:r w:rsidRPr="00D03F93">
        <w:t>. In particular, the Commission should commit to assessing these factors holistically rather than selectively, and should explain the analytical framework it will apply to weight competing indicators, taking into account the sector concerned, the nature and stage of development of the relevant innovation, the specific facts of the case</w:t>
      </w:r>
      <w:r w:rsidR="00161B99" w:rsidRPr="00D03F93">
        <w:t>, the existence of competitors</w:t>
      </w:r>
      <w:r w:rsidR="002D7F99">
        <w:t>’</w:t>
      </w:r>
      <w:r w:rsidR="00161B99" w:rsidRPr="00D03F93">
        <w:t xml:space="preserve"> innovative capabilities, etc.</w:t>
      </w:r>
    </w:p>
    <w:p w14:paraId="7BA46BFE" w14:textId="154B9301" w:rsidR="00391839" w:rsidRPr="00D03F93" w:rsidRDefault="00391839" w:rsidP="00A310B8">
      <w:pPr>
        <w:pStyle w:val="Sch1L8"/>
        <w:ind w:firstLine="720"/>
      </w:pPr>
      <w:r w:rsidRPr="00D03F93">
        <w:t>Valuation as a proxy for dynamic competitive potential</w:t>
      </w:r>
    </w:p>
    <w:p w14:paraId="5EDD9926" w14:textId="0063EA62" w:rsidR="00391839" w:rsidRPr="00D03F93" w:rsidRDefault="00391839" w:rsidP="0037427F">
      <w:pPr>
        <w:pStyle w:val="Style1"/>
      </w:pPr>
      <w:r w:rsidRPr="00D03F93">
        <w:t xml:space="preserve">The statement that </w:t>
      </w:r>
      <w:r w:rsidR="002D7F99">
        <w:t>“</w:t>
      </w:r>
      <w:r w:rsidRPr="00D03F93">
        <w:rPr>
          <w:i/>
          <w:iCs/>
        </w:rPr>
        <w:t>the high valuation of a target by the purchaser, especially compared to its turnover, may also provide an indication regarding the significance of the company</w:t>
      </w:r>
      <w:r w:rsidR="002D7F99">
        <w:rPr>
          <w:i/>
          <w:iCs/>
        </w:rPr>
        <w:t>’</w:t>
      </w:r>
      <w:r w:rsidRPr="00D03F93">
        <w:rPr>
          <w:i/>
          <w:iCs/>
        </w:rPr>
        <w:t>s dynamic competitive potential</w:t>
      </w:r>
      <w:r w:rsidR="002D7F99">
        <w:t>”</w:t>
      </w:r>
      <w:r w:rsidRPr="00D03F93">
        <w:t xml:space="preserve"> raises concerns. Transaction valuations reflect a wide range of considerations beyond dynamic competitive potential, including expected synergies, strategic fit, risk appetite, and broader macroeconomic conditions. Using valuation as a proxy for competitive significance risks penalising efficient acquirers willing to pay a premium for legitimate business reasons.</w:t>
      </w:r>
      <w:r w:rsidR="00161B99" w:rsidRPr="00D03F93">
        <w:t xml:space="preserve"> </w:t>
      </w:r>
      <w:r w:rsidRPr="00D03F93">
        <w:t>The Draft Guidelines should clarify that high valuation alone is insufficient to establish dynamic competitive potential.</w:t>
      </w:r>
    </w:p>
    <w:p w14:paraId="764938C5" w14:textId="0878D7D6" w:rsidR="00391839" w:rsidRPr="00D03F93" w:rsidRDefault="00391839" w:rsidP="00A310B8">
      <w:pPr>
        <w:pStyle w:val="Sch1L8"/>
        <w:ind w:firstLine="720"/>
      </w:pPr>
      <w:r w:rsidRPr="00D03F93">
        <w:t>Ecosystem effects and network effects</w:t>
      </w:r>
    </w:p>
    <w:p w14:paraId="7213C1F8" w14:textId="2B03B7CC" w:rsidR="00391839" w:rsidRPr="00D03F93" w:rsidRDefault="00391839" w:rsidP="0037427F">
      <w:pPr>
        <w:pStyle w:val="Style1"/>
      </w:pPr>
      <w:r w:rsidRPr="00D03F93">
        <w:t xml:space="preserve">The reference to the </w:t>
      </w:r>
      <w:r w:rsidR="002D7F99">
        <w:t>“</w:t>
      </w:r>
      <w:r w:rsidRPr="00D03F93">
        <w:rPr>
          <w:i/>
          <w:iCs/>
        </w:rPr>
        <w:t>ability to exploit network effects across products, including if one of the parties has a wider ecosystem of products and/or services</w:t>
      </w:r>
      <w:r w:rsidR="002D7F99">
        <w:t>”</w:t>
      </w:r>
      <w:r w:rsidRPr="00D03F93">
        <w:t xml:space="preserve"> is a potentially far-reaching factor. While network effects and ecosystem dynamics can be competitively relevant, this factor risks being applied in a manner that penalises firms for having been successful in building diversified product portfolios. Mere possession of an ecosystem should not</w:t>
      </w:r>
      <w:proofErr w:type="gramStart"/>
      <w:r w:rsidRPr="00D03F93">
        <w:t>, in itself, be</w:t>
      </w:r>
      <w:proofErr w:type="gramEnd"/>
      <w:r w:rsidRPr="00D03F93">
        <w:t xml:space="preserve"> treated as conferring heightened dynamic competitive potential that triggers concern.</w:t>
      </w:r>
    </w:p>
    <w:p w14:paraId="758DB7F1" w14:textId="67CBF390" w:rsidR="00A310B8" w:rsidRPr="00EA3F70" w:rsidRDefault="00391839" w:rsidP="00EA3F70">
      <w:pPr>
        <w:pStyle w:val="Style1"/>
        <w:rPr>
          <w:b/>
          <w:bCs/>
          <w:i/>
          <w:iCs/>
        </w:rPr>
      </w:pPr>
      <w:r w:rsidRPr="00D03F93">
        <w:t>The Commission should clarify that the existence of an ecosystem is relevant only insofar as it demonstrably confers a specific, quantifiable competitive advantage in the relevant market under assessment, rather than serving as a general indicator of competitive strength.</w:t>
      </w:r>
    </w:p>
    <w:p w14:paraId="1117A831" w14:textId="0C06A251" w:rsidR="00391839" w:rsidRPr="00D03F93" w:rsidRDefault="00391839" w:rsidP="006340E6">
      <w:pPr>
        <w:pStyle w:val="Sch1L8"/>
        <w:keepNext/>
        <w:ind w:firstLine="720"/>
      </w:pPr>
      <w:r w:rsidRPr="00D03F93">
        <w:t>Risk of structural bias against integrated firms</w:t>
      </w:r>
    </w:p>
    <w:p w14:paraId="0A50B042" w14:textId="766D1087" w:rsidR="00161B99" w:rsidRPr="00D03F93" w:rsidRDefault="00391839" w:rsidP="0037427F">
      <w:pPr>
        <w:pStyle w:val="Style1"/>
      </w:pPr>
      <w:r w:rsidRPr="00D03F93">
        <w:t xml:space="preserve">Para. 82 </w:t>
      </w:r>
      <w:r w:rsidR="005955F4" w:rsidRPr="00D03F93">
        <w:t xml:space="preserve">of the Draft Guidelines </w:t>
      </w:r>
      <w:r w:rsidRPr="00D03F93">
        <w:t xml:space="preserve">states that the assessment encompasses </w:t>
      </w:r>
      <w:r w:rsidR="002D7F99">
        <w:t>“</w:t>
      </w:r>
      <w:r w:rsidRPr="00D03F93">
        <w:rPr>
          <w:i/>
          <w:iCs/>
        </w:rPr>
        <w:t>how the business models shape the firms</w:t>
      </w:r>
      <w:r w:rsidR="002D7F99">
        <w:rPr>
          <w:i/>
          <w:iCs/>
        </w:rPr>
        <w:t>’</w:t>
      </w:r>
      <w:r w:rsidRPr="00D03F93">
        <w:rPr>
          <w:i/>
          <w:iCs/>
        </w:rPr>
        <w:t xml:space="preserve"> ability and incentive to invest and expand within and across markets</w:t>
      </w:r>
      <w:r w:rsidR="002D7F99">
        <w:t>”</w:t>
      </w:r>
      <w:r w:rsidR="00C8739D" w:rsidRPr="00D03F93">
        <w:t>,</w:t>
      </w:r>
      <w:r w:rsidRPr="00D03F93">
        <w:t xml:space="preserve"> including factors such as </w:t>
      </w:r>
      <w:r w:rsidR="002D7F99">
        <w:t>“</w:t>
      </w:r>
      <w:r w:rsidRPr="00D03F93">
        <w:rPr>
          <w:i/>
          <w:iCs/>
        </w:rPr>
        <w:t>the degree of vertical integration</w:t>
      </w:r>
      <w:r w:rsidR="002D7F99">
        <w:t>”</w:t>
      </w:r>
      <w:r w:rsidRPr="00D03F93">
        <w:t xml:space="preserve"> and </w:t>
      </w:r>
      <w:r w:rsidRPr="00D03F93">
        <w:lastRenderedPageBreak/>
        <w:t xml:space="preserve">whether </w:t>
      </w:r>
      <w:r w:rsidR="002D7F99">
        <w:t>“</w:t>
      </w:r>
      <w:r w:rsidRPr="00D03F93">
        <w:rPr>
          <w:i/>
          <w:iCs/>
        </w:rPr>
        <w:t>firms develop complementary product or service portfolios</w:t>
      </w:r>
      <w:r w:rsidR="002D7F99">
        <w:t>”</w:t>
      </w:r>
      <w:r w:rsidRPr="00D03F93">
        <w:t xml:space="preserve">. </w:t>
      </w:r>
      <w:r w:rsidR="00161B99" w:rsidRPr="00D03F93">
        <w:t>These statements risk</w:t>
      </w:r>
      <w:r w:rsidRPr="00D03F93">
        <w:t xml:space="preserve"> creating a structural bias against vertically integrated firms or firms with diversified portfolios</w:t>
      </w:r>
      <w:r w:rsidR="00161B99" w:rsidRPr="00D03F93">
        <w:t xml:space="preserve"> </w:t>
      </w:r>
      <w:r w:rsidRPr="00D03F93">
        <w:t>- even where the merger generates significant efficiencies.</w:t>
      </w:r>
      <w:r w:rsidR="00161B99" w:rsidRPr="00D03F93">
        <w:t xml:space="preserve"> </w:t>
      </w:r>
    </w:p>
    <w:p w14:paraId="2717CB65" w14:textId="629BB3E1" w:rsidR="00391839" w:rsidRPr="00D03F93" w:rsidRDefault="00391839" w:rsidP="0037427F">
      <w:pPr>
        <w:pStyle w:val="Style1"/>
      </w:pPr>
      <w:r w:rsidRPr="00D03F93">
        <w:t>The Draft Guidelines should include a balancing statement recognising that vertical integration and portfolio breadth are often pro-competitive features that enable efficiencies, innovation, and investment. The Commission should commit to a case-by-case assessment that does not treat these structural characteristics as inherently indicative of heightened market power.</w:t>
      </w:r>
    </w:p>
    <w:p w14:paraId="56E2B430" w14:textId="164BD5C0" w:rsidR="00391839" w:rsidRPr="00D03F93" w:rsidRDefault="00391839" w:rsidP="00A310B8">
      <w:pPr>
        <w:pStyle w:val="Sch1L8"/>
        <w:ind w:firstLine="720"/>
      </w:pPr>
      <w:r w:rsidRPr="00D03F93">
        <w:t>Geographic scope as a factor</w:t>
      </w:r>
    </w:p>
    <w:p w14:paraId="4DD0A95F" w14:textId="120CDD12" w:rsidR="00391839" w:rsidRPr="00D03F93" w:rsidRDefault="00391839" w:rsidP="0037427F">
      <w:pPr>
        <w:pStyle w:val="Style1"/>
      </w:pPr>
      <w:r w:rsidRPr="00D03F93">
        <w:t xml:space="preserve">The reference to </w:t>
      </w:r>
      <w:r w:rsidR="002D7F99">
        <w:t>“</w:t>
      </w:r>
      <w:r w:rsidRPr="00D03F93">
        <w:rPr>
          <w:i/>
          <w:iCs/>
        </w:rPr>
        <w:t>geographic scope of operations (such as national versus local operators)</w:t>
      </w:r>
      <w:r w:rsidR="002D7F99">
        <w:t>”</w:t>
      </w:r>
      <w:r w:rsidRPr="00D03F93">
        <w:t xml:space="preserve"> </w:t>
      </w:r>
      <w:r w:rsidR="00A27FA5" w:rsidRPr="00D03F93">
        <w:t>should not disadvantage firms operating at larger scale, as a national or international operator does not necessarily have greater dynamic competitive potential than a local operator in any given relevant market</w:t>
      </w:r>
      <w:r w:rsidRPr="00D03F93">
        <w:t>. The Commission should specify that geographic scope is relevant only to the extent it confers a proven competitive advantage in the specific relevant market, rather than being treated as a general indicator of competitive strength.</w:t>
      </w:r>
    </w:p>
    <w:p w14:paraId="58FE7162" w14:textId="5D191AB8" w:rsidR="00391839" w:rsidRPr="00D03F93" w:rsidRDefault="00391839" w:rsidP="00A310B8">
      <w:pPr>
        <w:pStyle w:val="Sch1L8"/>
        <w:ind w:left="720"/>
      </w:pPr>
      <w:r w:rsidRPr="00D03F93">
        <w:t>Welcome but insufficiently developed principle regarding barriers to entry or expansion in dynamic markets</w:t>
      </w:r>
    </w:p>
    <w:p w14:paraId="3450AE92" w14:textId="58E56AEF" w:rsidR="00391839" w:rsidRPr="00D03F93" w:rsidRDefault="00391839" w:rsidP="0037427F">
      <w:pPr>
        <w:pStyle w:val="Style1"/>
      </w:pPr>
      <w:r w:rsidRPr="00D03F93">
        <w:t>Para. 83</w:t>
      </w:r>
      <w:r w:rsidR="005955F4" w:rsidRPr="00D03F93">
        <w:t xml:space="preserve"> of the Draft Guidelines</w:t>
      </w:r>
      <w:r w:rsidRPr="00D03F93">
        <w:t xml:space="preserve"> acknowledges that </w:t>
      </w:r>
      <w:r w:rsidR="002D7F99">
        <w:t>“</w:t>
      </w:r>
      <w:r w:rsidRPr="00D03F93">
        <w:rPr>
          <w:i/>
          <w:iCs/>
        </w:rPr>
        <w:t>barriers to entry or expansion can limit the dynamic competitive potential of companies in dynamic markets</w:t>
      </w:r>
      <w:r w:rsidR="002D7F99">
        <w:t>”</w:t>
      </w:r>
      <w:r w:rsidRPr="00D03F93">
        <w:t>. This is important and welcome recognition. In innovation-intensive markets, the very factors that drive dynamic competition - significant investment requirements, intellectual property protection, access to scarce input, skilled labour, and lengthy regulatory processes - also constitute barriers that can limit firms</w:t>
      </w:r>
      <w:r w:rsidR="002D7F99">
        <w:t>’</w:t>
      </w:r>
      <w:r w:rsidRPr="00D03F93">
        <w:t xml:space="preserve"> ability to enter or expand. This paragraph is essential to ensuring that the dynamic competitive potential framework does not become a one-way ratchet that only increases concerns.</w:t>
      </w:r>
    </w:p>
    <w:p w14:paraId="1645D515" w14:textId="74442997" w:rsidR="00391839" w:rsidRPr="00D03F93" w:rsidRDefault="00391839" w:rsidP="0037427F">
      <w:pPr>
        <w:pStyle w:val="Style1"/>
      </w:pPr>
      <w:r w:rsidRPr="00D03F93">
        <w:t>Para. 83 should be significantly expanded to ensure it receives proper weight in the Commission</w:t>
      </w:r>
      <w:r w:rsidR="002D7F99">
        <w:t>’</w:t>
      </w:r>
      <w:r w:rsidRPr="00D03F93">
        <w:t>s overall assessment. Specifically:</w:t>
      </w:r>
    </w:p>
    <w:p w14:paraId="100C4965" w14:textId="18868694" w:rsidR="00391839" w:rsidRPr="00D03F93" w:rsidRDefault="00391839" w:rsidP="00E043E8">
      <w:pPr>
        <w:pStyle w:val="Firm1L2"/>
      </w:pPr>
      <w:r w:rsidRPr="00D03F93">
        <w:t>The Commission should state that a finding of high dynamic competitive potential must be accompanied by a corresponding assessment of barriers that may constrain the realisation of that potential.</w:t>
      </w:r>
    </w:p>
    <w:p w14:paraId="42685519" w14:textId="318F855E" w:rsidR="00391839" w:rsidRPr="00D03F93" w:rsidRDefault="00391839" w:rsidP="00E043E8">
      <w:pPr>
        <w:pStyle w:val="Firm1L2"/>
      </w:pPr>
      <w:r w:rsidRPr="00D03F93">
        <w:t xml:space="preserve">The list of barriers should be expanded to include, </w:t>
      </w:r>
      <w:r w:rsidRPr="006340E6">
        <w:rPr>
          <w:i/>
          <w:iCs/>
        </w:rPr>
        <w:t>inter alia</w:t>
      </w:r>
      <w:r w:rsidRPr="00D03F93">
        <w:t>, regulatory uncertainty, compliance costs, standardisation requirements, customer switching costs, and the risks inherent in R&amp;D investment (including the high failure rate of innovative projects).</w:t>
      </w:r>
    </w:p>
    <w:p w14:paraId="37957CC5" w14:textId="3CECEED1" w:rsidR="00391839" w:rsidRPr="00D03F93" w:rsidRDefault="00391839" w:rsidP="00E043E8">
      <w:pPr>
        <w:pStyle w:val="Firm1L2"/>
      </w:pPr>
      <w:r w:rsidRPr="00D03F93">
        <w:t>The Commission should acknowledge that firms in heavily regulated industries may have limited dynamic competitive potential</w:t>
      </w:r>
      <w:r w:rsidR="003E4A81">
        <w:t>,</w:t>
      </w:r>
      <w:r w:rsidRPr="00D03F93">
        <w:t xml:space="preserve"> notwithstanding high R&amp;D expenditure or broad product portfolios, precisely because regulatory barriers constrain their ability to bring innovations to market in a timely manner.</w:t>
      </w:r>
    </w:p>
    <w:p w14:paraId="7CE05F7D" w14:textId="2722E80D" w:rsidR="00391839" w:rsidRPr="00D03F93" w:rsidRDefault="00391839" w:rsidP="00A310B8">
      <w:pPr>
        <w:pStyle w:val="Sch1L8"/>
        <w:ind w:firstLine="720"/>
      </w:pPr>
      <w:r w:rsidRPr="00D03F93">
        <w:t>Burden and standard of proof</w:t>
      </w:r>
    </w:p>
    <w:p w14:paraId="3E30E4FD" w14:textId="75FC6CBB" w:rsidR="00391839" w:rsidRPr="00D03F93" w:rsidRDefault="008C22B1" w:rsidP="003A4422">
      <w:pPr>
        <w:pStyle w:val="Style1"/>
      </w:pPr>
      <w:r w:rsidRPr="00D03F93">
        <w:lastRenderedPageBreak/>
        <w:t>The Draft Guidelines are silent on the burden of proof; the Commission should clarify that the burden remains with it to establish, on robust evidence, that a firm</w:t>
      </w:r>
      <w:r w:rsidR="002D7F99">
        <w:t>’</w:t>
      </w:r>
      <w:r w:rsidRPr="00D03F93">
        <w:t xml:space="preserve">s dynamic competitive potential materially affects competitive conditions. Where the assessment is more prospective and uncertain </w:t>
      </w:r>
      <w:r w:rsidR="003A4422" w:rsidRPr="00D03F93">
        <w:t>–</w:t>
      </w:r>
      <w:r w:rsidRPr="00D03F93">
        <w:t xml:space="preserve"> </w:t>
      </w:r>
      <w:proofErr w:type="gramStart"/>
      <w:r w:rsidR="003A4422" w:rsidRPr="00D03F93">
        <w:t>i</w:t>
      </w:r>
      <w:r w:rsidRPr="00D03F93">
        <w:t>n particular where</w:t>
      </w:r>
      <w:proofErr w:type="gramEnd"/>
      <w:r w:rsidRPr="00D03F93">
        <w:t xml:space="preserve"> it rests on early-stage R&amp;D, broader innovation spaces or general capabilities rather than identifiable pipeline products </w:t>
      </w:r>
      <w:r w:rsidR="003A4422" w:rsidRPr="00D03F93">
        <w:t>–</w:t>
      </w:r>
      <w:r w:rsidRPr="00D03F93">
        <w:t xml:space="preserve"> the standard of proof should be correspondingly </w:t>
      </w:r>
      <w:proofErr w:type="gramStart"/>
      <w:r w:rsidRPr="00D03F93">
        <w:t>high</w:t>
      </w:r>
      <w:proofErr w:type="gramEnd"/>
      <w:r w:rsidRPr="00D03F93">
        <w:t xml:space="preserve"> and the Commission should be required to adduce robust, case-specific evidence substantiating the alleged dynamic competitive potential</w:t>
      </w:r>
      <w:r w:rsidR="00391839" w:rsidRPr="00D03F93">
        <w:t>.</w:t>
      </w:r>
    </w:p>
    <w:p w14:paraId="74CDA442" w14:textId="012D0116" w:rsidR="00391839" w:rsidRPr="00D03F93" w:rsidRDefault="00391839" w:rsidP="00A310B8">
      <w:pPr>
        <w:pStyle w:val="Sch1L8"/>
        <w:ind w:firstLine="720"/>
      </w:pPr>
      <w:r w:rsidRPr="00D03F93">
        <w:t>Transparency and predictability</w:t>
      </w:r>
    </w:p>
    <w:p w14:paraId="17BF8445" w14:textId="08F63CC5" w:rsidR="000C2BC3" w:rsidRPr="00D03F93" w:rsidRDefault="00391839" w:rsidP="009C722A">
      <w:pPr>
        <w:pStyle w:val="Style1"/>
      </w:pPr>
      <w:r w:rsidRPr="00D03F93">
        <w:t>The breadth and flexibility of the factors in paras. 81 and 82</w:t>
      </w:r>
      <w:r w:rsidR="0002581D" w:rsidRPr="00D03F93">
        <w:t xml:space="preserve"> of the Draft Guidelines</w:t>
      </w:r>
      <w:r w:rsidRPr="00D03F93">
        <w:t xml:space="preserve"> create a risk that the concept of dynamic competitive potential becomes an unfalsifiable catch-all, capable of being invoked to challenge virtually any transaction. To mitigate this, the Commission should commit to publishing detailed reasoning</w:t>
      </w:r>
      <w:r w:rsidR="000C2BC3" w:rsidRPr="00D03F93">
        <w:t xml:space="preserve"> in its decisions</w:t>
      </w:r>
      <w:r w:rsidRPr="00D03F93">
        <w:t>.</w:t>
      </w:r>
    </w:p>
    <w:p w14:paraId="3C788671" w14:textId="3AFCB50D" w:rsidR="00391839" w:rsidRPr="00D03F93" w:rsidRDefault="00391839" w:rsidP="006340E6">
      <w:pPr>
        <w:pStyle w:val="Firm5L3"/>
      </w:pPr>
      <w:r w:rsidRPr="00D03F93">
        <w:t>Countervailing factors</w:t>
      </w:r>
    </w:p>
    <w:p w14:paraId="4D6E5AF6" w14:textId="543D38C2" w:rsidR="00391839" w:rsidRPr="00D03F93" w:rsidRDefault="00391839" w:rsidP="00A310B8">
      <w:pPr>
        <w:pStyle w:val="Sch1L8"/>
        <w:ind w:firstLine="720"/>
      </w:pPr>
      <w:r w:rsidRPr="00D03F93">
        <w:t>Dynamic entry of expansion of competitors</w:t>
      </w:r>
    </w:p>
    <w:p w14:paraId="1DA46769" w14:textId="6FE42AE8" w:rsidR="00391839" w:rsidRPr="00D03F93" w:rsidRDefault="00391839" w:rsidP="0037427F">
      <w:pPr>
        <w:pStyle w:val="Style1"/>
      </w:pPr>
      <w:r w:rsidRPr="00D03F93">
        <w:t>First, the Draft Guidelines introduce for the first time a formal distinction between entry by competitors not previously active in the relevant market and expansion by those already present but increasing capacity or sales as part of the possible countervailing factors of the merging firms</w:t>
      </w:r>
      <w:r w:rsidR="002D7F99">
        <w:t>’</w:t>
      </w:r>
      <w:r w:rsidRPr="00D03F93">
        <w:t xml:space="preserve"> market power. Whereas already reflected in the Commission decisional practice, this addition is a significant improvement over the Horizontal Guidelines.</w:t>
      </w:r>
    </w:p>
    <w:p w14:paraId="471FEB08" w14:textId="32BBF732" w:rsidR="00391839" w:rsidRPr="00D03F93" w:rsidRDefault="00391839" w:rsidP="0037427F">
      <w:pPr>
        <w:pStyle w:val="Style1"/>
      </w:pPr>
      <w:r w:rsidRPr="00D03F93">
        <w:t>Second, in the merger-induced entry or expansion scenario, there could be a possible contradiction for merging firms to evidence, on the one hand, their absence of incentive to increase their prices in the post-merger scenario (in order to demonstrate the absence of unilateral effects induced by the merger), and, on the other hand, the competitors</w:t>
      </w:r>
      <w:r w:rsidR="002D7F99">
        <w:t>’</w:t>
      </w:r>
      <w:r w:rsidRPr="00D03F93">
        <w:t xml:space="preserve"> expectation that post-merger prices will remain above pre</w:t>
      </w:r>
      <w:r w:rsidR="0020424E">
        <w:t>-</w:t>
      </w:r>
      <w:r w:rsidRPr="00D03F93">
        <w:t>merger levels (which appears in the Draft Guidelines to be the main (if not only) way to demonstrate competitors</w:t>
      </w:r>
      <w:r w:rsidR="002D7F99">
        <w:t>’</w:t>
      </w:r>
      <w:r w:rsidRPr="00D03F93">
        <w:t xml:space="preserve"> incentive for entering or expanding in the market in response to the merger). Further clarifications could be relevant.</w:t>
      </w:r>
    </w:p>
    <w:p w14:paraId="2947013C" w14:textId="7A2FB056" w:rsidR="005641B1" w:rsidRPr="00D03F93" w:rsidRDefault="005641B1" w:rsidP="00AB4BF2">
      <w:pPr>
        <w:pStyle w:val="Firm1L1"/>
      </w:pPr>
      <w:r w:rsidRPr="00D03F93">
        <w:t>Third</w:t>
      </w:r>
      <w:r w:rsidR="00AB4BF2" w:rsidRPr="00D03F93">
        <w:t xml:space="preserve">, the standard of proof for evidencing that competitors have concrete plans to enter or expand is significantly higher than in the Horizontal Guidelines, requiring it to be supported by clear, verifiable and contemporaneous evidence. </w:t>
      </w:r>
    </w:p>
    <w:p w14:paraId="2B0B2B20" w14:textId="7007092F" w:rsidR="00AB4BF2" w:rsidRPr="00D03F93" w:rsidRDefault="005641B1" w:rsidP="00AB4BF2">
      <w:pPr>
        <w:pStyle w:val="Firm1L1"/>
      </w:pPr>
      <w:r w:rsidRPr="00D03F93">
        <w:t>In the APDC</w:t>
      </w:r>
      <w:r w:rsidR="002D7F99">
        <w:t>’</w:t>
      </w:r>
      <w:r w:rsidRPr="00D03F93">
        <w:t>s view</w:t>
      </w:r>
      <w:r w:rsidR="00AB4BF2" w:rsidRPr="00D03F93">
        <w:t xml:space="preserve">, this criterion is disproportionately demanding in cases where entry or expansion is merger-induced, since, by definition, such plans may only crystallise after the merger is announced or completed. Even if the Draft Guidelines seem to acknowledge this difficulty in stating that plans may be contingent in character (e.g., conditioned on the merger going ahead), the supportive contemporaneous evidence required from the merging parties could significantly limit the ability of the latter to rely on forward-looking entry scenarios which are economically credible but not yet documented, particularly at early stages of the investigation. </w:t>
      </w:r>
      <w:r w:rsidRPr="00D03F93">
        <w:t>Furthermore</w:t>
      </w:r>
      <w:r w:rsidR="00AB4BF2" w:rsidRPr="00D03F93">
        <w:t xml:space="preserve">, the information asymmetry previously underlined </w:t>
      </w:r>
      <w:r w:rsidRPr="00D03F93">
        <w:t xml:space="preserve">should be </w:t>
      </w:r>
      <w:r w:rsidR="004A0845" w:rsidRPr="00D03F93">
        <w:t>addressed</w:t>
      </w:r>
      <w:r w:rsidR="00AB4BF2" w:rsidRPr="00D03F93">
        <w:t xml:space="preserve">. In cases where the merging parties invoke third-party entry as a countervailing factor, they face a </w:t>
      </w:r>
      <w:r w:rsidR="00AB4BF2" w:rsidRPr="00D03F93">
        <w:lastRenderedPageBreak/>
        <w:t>structural disadvantage compared to the case team, as they do not have access to the internal documents, investment plans, or market strategies of potential entrants, resulting in an inequality of arms detrimental to the merging parties. The same comment applies to the evidencing of independent entry or expansion in the market in the competitive counterfactual. Whereas the reference to forward-looking market share estimates (using the sales or capacity of rivals planning to enter or expand) is a sensible methodological indication, the merging parties have no access to figures and data relevant for actual entry or expansion assessment purposes. Lastly, greater methodological precision is needed on the threshold above which entry or expansion will be considered sufficiently certain to be incorporated into the counterfactual. A large part of the demonstration still relies on information that the Commission can proactively obtain from competitors in the market tests.</w:t>
      </w:r>
    </w:p>
    <w:p w14:paraId="129DD293" w14:textId="77777777" w:rsidR="005641B1" w:rsidRPr="00D03F93" w:rsidRDefault="005641B1" w:rsidP="00D03F93">
      <w:pPr>
        <w:pStyle w:val="Firm1L1"/>
      </w:pPr>
      <w:r w:rsidRPr="00D03F93">
        <w:t xml:space="preserve">Lastly, the timing criterion partly mitigates the asymmetry between the assessment of potential competition from the merging parties, for which the Commission may apply a longer timeframe of up to ten years, and third-party entry, which remains subject to a presumptive two-year period, by allowing longer timeframes for entries expected beyond two years where justified by specific market dynamics. This consideration is, however, subject to three cumulative conditions, pursuant to which the entry must be particularly substantial, likely and already impacting competition today, which raises questions, particularly regarding the third condition. Clarifications as to how a possible entry in the market </w:t>
      </w:r>
      <w:proofErr w:type="gramStart"/>
      <w:r w:rsidRPr="00D03F93">
        <w:t>subsequent to</w:t>
      </w:r>
      <w:proofErr w:type="gramEnd"/>
      <w:r w:rsidRPr="00D03F93">
        <w:t xml:space="preserve"> a merger that has not yet occurred can already impact competition today would be useful. Finally, the link between the extended timeframe and the theory of harm stated in footnote 159 of the Draft Guidelines is sufficiently important to be placed in the body of the text.</w:t>
      </w:r>
    </w:p>
    <w:p w14:paraId="39440151" w14:textId="3254765E" w:rsidR="00391839" w:rsidRPr="00D03F93" w:rsidRDefault="00391839" w:rsidP="00A310B8">
      <w:pPr>
        <w:pStyle w:val="Sch1L8"/>
        <w:ind w:firstLine="720"/>
      </w:pPr>
      <w:r w:rsidRPr="00D03F93">
        <w:t>Out of market constraints</w:t>
      </w:r>
    </w:p>
    <w:p w14:paraId="00F35AB8" w14:textId="58F84FFA" w:rsidR="00391839" w:rsidRPr="00D03F93" w:rsidRDefault="00391839" w:rsidP="0037427F">
      <w:pPr>
        <w:pStyle w:val="Style1"/>
      </w:pPr>
      <w:r w:rsidRPr="00D03F93">
        <w:t>The APDC welcomes the Commission</w:t>
      </w:r>
      <w:r w:rsidR="002D7F99">
        <w:t>’</w:t>
      </w:r>
      <w:r w:rsidRPr="00D03F93">
        <w:t>s objective, reflected in the Draft Guidelines, to set out a more comprehensive framework for the assessment of competitive effects and to allow, where appropriate, for a global and forward-looking analysis of market dynamics. Such an approach is, in principle, useful to ensure that merger control remains capable of capturing the competitive reality of increasingly complex and evolving markets.</w:t>
      </w:r>
    </w:p>
    <w:p w14:paraId="12EBF39A" w14:textId="71586E10" w:rsidR="00391839" w:rsidRPr="00D03F93" w:rsidRDefault="00391839" w:rsidP="0037427F">
      <w:pPr>
        <w:pStyle w:val="Style1"/>
      </w:pPr>
      <w:r w:rsidRPr="00D03F93">
        <w:t xml:space="preserve">Against this background, however, the APDC is concerned by the approach taken in para. 102 of the Draft Guidelines. That paragraph appears to state that competitive constraints exercised by products, services or undertakings located outside the relevant market are </w:t>
      </w:r>
      <w:r w:rsidR="002D7F99">
        <w:t>“</w:t>
      </w:r>
      <w:r w:rsidRPr="00D03F93">
        <w:rPr>
          <w:i/>
          <w:iCs/>
        </w:rPr>
        <w:t>typically insufficient</w:t>
      </w:r>
      <w:r w:rsidR="002D7F99">
        <w:t>”</w:t>
      </w:r>
      <w:r w:rsidRPr="00D03F93">
        <w:t>. In the APDC</w:t>
      </w:r>
      <w:r w:rsidR="002D7F99">
        <w:t>’</w:t>
      </w:r>
      <w:r w:rsidRPr="00D03F93">
        <w:t>s view, this formulation is too categorical and risks unduly minimising the relevance of out-of-market constraints in the competitive assessment.</w:t>
      </w:r>
    </w:p>
    <w:p w14:paraId="00ED1B9D" w14:textId="68835C63" w:rsidR="00391839" w:rsidRPr="00D03F93" w:rsidRDefault="00391839" w:rsidP="0037427F">
      <w:pPr>
        <w:pStyle w:val="Style1"/>
      </w:pPr>
      <w:r w:rsidRPr="00D03F93">
        <w:t>The APDC considers that, if the Commission intends to rely on a broad and effects-based analysis as the Draft Guidelines aim do, it should apply the same analytical neutrality when assessing constraints that may limit the merged entity</w:t>
      </w:r>
      <w:r w:rsidR="002D7F99">
        <w:t>’</w:t>
      </w:r>
      <w:r w:rsidRPr="00D03F93">
        <w:t>s market power. Their relevance should instead be assessed on a case-by-case basis.</w:t>
      </w:r>
    </w:p>
    <w:p w14:paraId="23490BA6" w14:textId="4242D178" w:rsidR="00391839" w:rsidRPr="00D03F93" w:rsidRDefault="00391839" w:rsidP="0037427F">
      <w:pPr>
        <w:pStyle w:val="Style1"/>
      </w:pPr>
      <w:r w:rsidRPr="00D03F93">
        <w:t xml:space="preserve">The APDC is also concerned that the wording of para. 102 could, in practice, shift the burden of proof onto notifying parties. If out-of-market constraints are presumed to be </w:t>
      </w:r>
      <w:r w:rsidR="002D7F99">
        <w:lastRenderedPageBreak/>
        <w:t>“</w:t>
      </w:r>
      <w:r w:rsidRPr="00D03F93">
        <w:rPr>
          <w:i/>
          <w:iCs/>
        </w:rPr>
        <w:t>typically insufficient</w:t>
      </w:r>
      <w:r w:rsidR="002D7F99">
        <w:t>”</w:t>
      </w:r>
      <w:r w:rsidRPr="00D03F93">
        <w:t>, parties may be required to demonstrate, through complex empirical analyses, that such constraints are exceptionally effective in the specific case at hand. This would increase the administrative burden of merger control proceedings.</w:t>
      </w:r>
    </w:p>
    <w:p w14:paraId="4450A494" w14:textId="00E6056A" w:rsidR="00391839" w:rsidRPr="00D03F93" w:rsidRDefault="00391839" w:rsidP="0037427F">
      <w:pPr>
        <w:pStyle w:val="Style1"/>
      </w:pPr>
      <w:r w:rsidRPr="00D03F93">
        <w:t xml:space="preserve">Para. 102 also refers to a </w:t>
      </w:r>
      <w:r w:rsidR="002D7F99">
        <w:t>“</w:t>
      </w:r>
      <w:r w:rsidRPr="00D03F93">
        <w:rPr>
          <w:i/>
          <w:iCs/>
        </w:rPr>
        <w:t>subset of customers</w:t>
      </w:r>
      <w:r w:rsidR="002D7F99">
        <w:t>”</w:t>
      </w:r>
      <w:r w:rsidRPr="00D03F93">
        <w:t xml:space="preserve"> suggesting that out-of-market constraints may be disregarded where a </w:t>
      </w:r>
      <w:r w:rsidR="002D7F99">
        <w:t>“</w:t>
      </w:r>
      <w:r w:rsidRPr="00D03F93">
        <w:rPr>
          <w:i/>
          <w:iCs/>
        </w:rPr>
        <w:t>subset of customers</w:t>
      </w:r>
      <w:r w:rsidR="002D7F99">
        <w:t>”</w:t>
      </w:r>
      <w:r w:rsidRPr="00D03F93">
        <w:t xml:space="preserve"> remains dependent on the merging parties.</w:t>
      </w:r>
    </w:p>
    <w:p w14:paraId="64C6911D" w14:textId="717F7FED" w:rsidR="00391839" w:rsidRPr="00D03F93" w:rsidRDefault="00391839" w:rsidP="0037427F">
      <w:pPr>
        <w:pStyle w:val="Style1"/>
      </w:pPr>
      <w:r w:rsidRPr="00D03F93">
        <w:t>The APDC is concerned about the interplay of this approach with the Commission</w:t>
      </w:r>
      <w:r w:rsidR="002D7F99">
        <w:t>’</w:t>
      </w:r>
      <w:r w:rsidRPr="00D03F93">
        <w:t>s usual methodology in market definition.</w:t>
      </w:r>
      <w:r w:rsidRPr="00D03F93">
        <w:rPr>
          <w:rStyle w:val="FootnoteReference"/>
          <w:rFonts w:asciiTheme="majorBidi" w:eastAsia="Times New Roman" w:hAnsiTheme="majorBidi" w:cstheme="majorBidi"/>
          <w:color w:val="000000"/>
        </w:rPr>
        <w:footnoteReference w:id="6"/>
      </w:r>
      <w:r w:rsidRPr="00D03F93">
        <w:t xml:space="preserve"> On one hand, this approach could allow the Commission to disregard broader competitive constraints on the basis that a marginal or highly specific category of customers would not easily switch to alternatives outside the relevant market. Such an approach would risk departing from the Commission</w:t>
      </w:r>
      <w:r w:rsidR="002D7F99">
        <w:t>’</w:t>
      </w:r>
      <w:r w:rsidRPr="00D03F93">
        <w:t>s usual methodology in market definition, which focuses on the behaviour of representative customers, rather than on isolated customer groups with distinct or atypical preferences.</w:t>
      </w:r>
    </w:p>
    <w:p w14:paraId="30B9ED16" w14:textId="5834D002" w:rsidR="00391839" w:rsidRPr="00D03F93" w:rsidRDefault="00391839" w:rsidP="0037427F">
      <w:pPr>
        <w:pStyle w:val="Style1"/>
      </w:pPr>
      <w:r w:rsidRPr="00D03F93">
        <w:t>On the other hand, this approach should not lead the Commission to consider systematically that some of the constraints referred to in para. 103</w:t>
      </w:r>
      <w:r w:rsidR="00E12394" w:rsidRPr="00D03F93">
        <w:t xml:space="preserve"> of the Draft Guidelines</w:t>
      </w:r>
      <w:r w:rsidRPr="00D03F93">
        <w:t xml:space="preserve"> are always out-of-market. Indeed, the APDC notes some of the </w:t>
      </w:r>
      <w:r w:rsidR="002D7F99">
        <w:t>“</w:t>
      </w:r>
      <w:r w:rsidRPr="00D03F93">
        <w:rPr>
          <w:i/>
          <w:iCs/>
        </w:rPr>
        <w:t>out-of-market constraints</w:t>
      </w:r>
      <w:r w:rsidR="002D7F99">
        <w:t>”</w:t>
      </w:r>
      <w:r w:rsidRPr="00D03F93">
        <w:t xml:space="preserve"> mentioned in Para. 103 are not always </w:t>
      </w:r>
      <w:r w:rsidR="002D7F99">
        <w:t>“</w:t>
      </w:r>
      <w:r w:rsidRPr="00D03F93">
        <w:rPr>
          <w:i/>
          <w:iCs/>
        </w:rPr>
        <w:t>out-of-market</w:t>
      </w:r>
      <w:r w:rsidR="002D7F99">
        <w:t>”</w:t>
      </w:r>
      <w:r w:rsidRPr="00D03F93">
        <w:t xml:space="preserve">. For instance, private label products </w:t>
      </w:r>
      <w:r w:rsidR="005641B1" w:rsidRPr="00D03F93">
        <w:t>are typically often</w:t>
      </w:r>
      <w:r w:rsidRPr="00D03F93">
        <w:t xml:space="preserve"> considered as falling within the same relevant market as branded products. Similarly, products produced for internal consumption may exceptionally fall within the same product market </w:t>
      </w:r>
      <w:r w:rsidR="00F778B6" w:rsidRPr="00D03F93">
        <w:t>as</w:t>
      </w:r>
      <w:r w:rsidRPr="00D03F93">
        <w:t xml:space="preserve"> products produced for external consumption. The Commission should make that point</w:t>
      </w:r>
      <w:r w:rsidR="003E4A81">
        <w:t xml:space="preserve"> clear</w:t>
      </w:r>
      <w:r w:rsidRPr="00D03F93">
        <w:t xml:space="preserve"> in the </w:t>
      </w:r>
      <w:r w:rsidR="00FD7A23" w:rsidRPr="00D03F93">
        <w:t>Final</w:t>
      </w:r>
      <w:r w:rsidR="00247DA0" w:rsidRPr="00D03F93">
        <w:t xml:space="preserve"> </w:t>
      </w:r>
      <w:r w:rsidRPr="00D03F93">
        <w:t>Guidelines, by stating explicitly that some of the constraints mentioned in para. 103 may arise from inside the market depending on applicable market definitions.</w:t>
      </w:r>
    </w:p>
    <w:p w14:paraId="50029277" w14:textId="13F70C05" w:rsidR="008A11FF" w:rsidRPr="00D03F93" w:rsidRDefault="00391839" w:rsidP="000506D9">
      <w:pPr>
        <w:pStyle w:val="Style1"/>
      </w:pPr>
      <w:r w:rsidRPr="00D03F93">
        <w:t xml:space="preserve">Finally, the APDC submits that the list of out-of-market constraints mentioned in para. 103 does not seem to be exhaustive and that this should be made clear in the </w:t>
      </w:r>
      <w:r w:rsidR="001D5324" w:rsidRPr="00D03F93">
        <w:t>F</w:t>
      </w:r>
      <w:r w:rsidRPr="00D03F93">
        <w:t xml:space="preserve">inal </w:t>
      </w:r>
      <w:r w:rsidR="001D5324" w:rsidRPr="00D03F93">
        <w:t>G</w:t>
      </w:r>
      <w:r w:rsidRPr="00D03F93">
        <w:t xml:space="preserve">uidelines. The Commission may well find new types of such constraints in the future. In addition, the Commission should add at least one additional example of out-of-market constraints to the list, i.e. the partial competitive pressure that one product or service belonging to a relevant market may exercise on products or services belonging to a </w:t>
      </w:r>
      <w:r w:rsidR="00094A66" w:rsidRPr="00D03F93">
        <w:t>neighbouring</w:t>
      </w:r>
      <w:r w:rsidRPr="00D03F93">
        <w:t xml:space="preserve"> market. For example, in the audiovisual industry, the market for the edition and sale of premium </w:t>
      </w:r>
      <w:proofErr w:type="spellStart"/>
      <w:r w:rsidRPr="00D03F93">
        <w:t>pay-TV</w:t>
      </w:r>
      <w:proofErr w:type="spellEnd"/>
      <w:r w:rsidRPr="00D03F93">
        <w:t xml:space="preserve"> channels may be circumscribed to channels showing both movie and sports premium contents. However, mono-thematic premium channels (i.e. </w:t>
      </w:r>
      <w:proofErr w:type="spellStart"/>
      <w:r w:rsidRPr="00D03F93">
        <w:t>pay-TV</w:t>
      </w:r>
      <w:proofErr w:type="spellEnd"/>
      <w:r w:rsidRPr="00D03F93">
        <w:t xml:space="preserve"> channels with only movie or sports premium contents), even though they belong to a separate market, are partially substitutable and thus exercise at least a partial competitive pressure on premium channels. In that case, mono-thematic premium channels should be regarded as an out-of-market constraint which is relevant for the purposes of reviewing the effects of a merger.</w:t>
      </w:r>
    </w:p>
    <w:p w14:paraId="2EA4813E" w14:textId="6D4DB928" w:rsidR="00391839" w:rsidRPr="00D03F93" w:rsidRDefault="00391839" w:rsidP="00A310B8">
      <w:pPr>
        <w:pStyle w:val="Sch1L8"/>
        <w:ind w:firstLine="720"/>
      </w:pPr>
      <w:r w:rsidRPr="00D03F93">
        <w:t>Countervailing buyer power</w:t>
      </w:r>
    </w:p>
    <w:p w14:paraId="77FEED94" w14:textId="7D1CD056" w:rsidR="00391839" w:rsidRPr="00D03F93" w:rsidRDefault="00391839" w:rsidP="0037427F">
      <w:pPr>
        <w:pStyle w:val="Style1"/>
      </w:pPr>
      <w:r w:rsidRPr="00D03F93">
        <w:lastRenderedPageBreak/>
        <w:t>The APDC agrees with the Commission</w:t>
      </w:r>
      <w:r w:rsidR="002D7F99">
        <w:t>’</w:t>
      </w:r>
      <w:r w:rsidRPr="00D03F93">
        <w:t>s recognition of the countervailing buyer power as a key competitive constraint.</w:t>
      </w:r>
    </w:p>
    <w:p w14:paraId="2B2CDE1E" w14:textId="4987ECF1" w:rsidR="003A1CBB" w:rsidRPr="00D03F93" w:rsidRDefault="003A1CBB" w:rsidP="003A1CBB">
      <w:pPr>
        <w:pStyle w:val="Style1"/>
      </w:pPr>
      <w:r w:rsidRPr="00D03F93">
        <w:t>In para. 105</w:t>
      </w:r>
      <w:r w:rsidR="00E12394" w:rsidRPr="00D03F93">
        <w:t xml:space="preserve"> of the Draft Guidelines</w:t>
      </w:r>
      <w:r w:rsidRPr="00D03F93">
        <w:t xml:space="preserve">, the Commission notes that </w:t>
      </w:r>
      <w:r w:rsidR="002D7F99">
        <w:t>“</w:t>
      </w:r>
      <w:r w:rsidRPr="00D03F93">
        <w:rPr>
          <w:i/>
          <w:iCs/>
        </w:rPr>
        <w:t>it is not sufficient that buyer power exists prior to the merger, it must also exist and remain effective following the merger</w:t>
      </w:r>
      <w:r w:rsidR="002D7F99">
        <w:t>”</w:t>
      </w:r>
      <w:r w:rsidRPr="00D03F93">
        <w:t>. While this assertion is not disputed, the APDC considers that the Commission</w:t>
      </w:r>
      <w:r w:rsidR="002D7F99">
        <w:t>’</w:t>
      </w:r>
      <w:r w:rsidRPr="00D03F93">
        <w:t xml:space="preserve">s assessment of countervailing buyer power should be fully dynamic, allowing also for the possibility for customers to increase their bargaining power in the future, for instance through joint purchasing or buyer alliances (which will generally not be subject to merger control). In industries where this possibility is sufficiently well documented, it should be </w:t>
      </w:r>
      <w:proofErr w:type="gramStart"/>
      <w:r w:rsidRPr="00D03F93">
        <w:t>taken into account</w:t>
      </w:r>
      <w:proofErr w:type="gramEnd"/>
      <w:r w:rsidRPr="00D03F93">
        <w:t xml:space="preserve">. </w:t>
      </w:r>
    </w:p>
    <w:p w14:paraId="09ED409A" w14:textId="415CB2B5" w:rsidR="00391839" w:rsidRPr="00D03F93" w:rsidRDefault="003A1CBB" w:rsidP="003A1CBB">
      <w:pPr>
        <w:pStyle w:val="Style1"/>
      </w:pPr>
      <w:r w:rsidRPr="00D03F93">
        <w:t xml:space="preserve">In para. 105, the Commission also holds that </w:t>
      </w:r>
      <w:r w:rsidR="002D7F99">
        <w:t>“</w:t>
      </w:r>
      <w:r w:rsidRPr="00D03F93">
        <w:rPr>
          <w:i/>
          <w:iCs/>
        </w:rPr>
        <w:t>large profit margins of the merging firms may suggest that their customers do not possess significant countervailing buyer power</w:t>
      </w:r>
      <w:r w:rsidR="002D7F99">
        <w:t>”</w:t>
      </w:r>
      <w:r w:rsidRPr="00D03F93">
        <w:t xml:space="preserve">. APDC is concerned by this assertion and considers this correlation to be economically flawed in certain markets notably in capital-intensive, high-technology, or research-and-development (R&amp;D) intensive sectors. </w:t>
      </w:r>
      <w:r w:rsidRPr="00D03F93">
        <w:rPr>
          <w:lang w:val="en-US"/>
        </w:rPr>
        <w:t>Besides, high margins o</w:t>
      </w:r>
      <w:r w:rsidR="00F778B6" w:rsidRPr="00D03F93">
        <w:rPr>
          <w:lang w:val="en-US"/>
        </w:rPr>
        <w:t>n</w:t>
      </w:r>
      <w:r w:rsidRPr="00D03F93">
        <w:rPr>
          <w:lang w:val="en-US"/>
        </w:rPr>
        <w:t xml:space="preserve"> the side of the merging parties should never be assessed </w:t>
      </w:r>
      <w:r w:rsidRPr="00D03F93">
        <w:rPr>
          <w:i/>
          <w:iCs/>
          <w:lang w:val="en-US"/>
        </w:rPr>
        <w:t xml:space="preserve">in </w:t>
      </w:r>
      <w:proofErr w:type="spellStart"/>
      <w:r w:rsidRPr="00D03F93">
        <w:rPr>
          <w:i/>
          <w:iCs/>
          <w:lang w:val="en-US"/>
        </w:rPr>
        <w:t>abstracto</w:t>
      </w:r>
      <w:proofErr w:type="spellEnd"/>
      <w:r w:rsidRPr="00D03F93">
        <w:rPr>
          <w:lang w:val="en-US"/>
        </w:rPr>
        <w:t xml:space="preserve"> but compared to the margins of the customers – an information that may not be in the possession of the merging parties but should be consistently verified by the Commission. Considering this, the Commission should not consider in its assessment that high margins automatically create a presumption of existence of effective countervailing buyer power</w:t>
      </w:r>
      <w:r w:rsidR="00A717DC" w:rsidRPr="00D03F93">
        <w:rPr>
          <w:lang w:val="en-US"/>
        </w:rPr>
        <w:t>.</w:t>
      </w:r>
      <w:r w:rsidR="00391839" w:rsidRPr="00D03F93">
        <w:rPr>
          <w:rStyle w:val="FootnoteReference"/>
          <w:rFonts w:asciiTheme="majorBidi" w:eastAsia="Times New Roman" w:hAnsiTheme="majorBidi" w:cstheme="majorBidi"/>
          <w:color w:val="000000"/>
        </w:rPr>
        <w:footnoteReference w:id="7"/>
      </w:r>
      <w:r w:rsidR="00EB086E" w:rsidRPr="00D03F93">
        <w:t xml:space="preserve"> In addition, the </w:t>
      </w:r>
      <w:r w:rsidR="00A90883" w:rsidRPr="00D03F93">
        <w:t>AP</w:t>
      </w:r>
      <w:r w:rsidR="0020424E">
        <w:t>D</w:t>
      </w:r>
      <w:r w:rsidR="00A90883" w:rsidRPr="00D03F93">
        <w:t xml:space="preserve">C is concerned by the absence of definition or clear understanding of what constitutes </w:t>
      </w:r>
      <w:r w:rsidR="002D7F99">
        <w:t>“</w:t>
      </w:r>
      <w:r w:rsidR="00A90883" w:rsidRPr="00D03F93">
        <w:t>high margins</w:t>
      </w:r>
      <w:r w:rsidR="002D7F99">
        <w:t>”</w:t>
      </w:r>
      <w:r w:rsidR="00A90883" w:rsidRPr="00D03F93">
        <w:t xml:space="preserve"> or </w:t>
      </w:r>
      <w:r w:rsidR="002D7F99">
        <w:t>“</w:t>
      </w:r>
      <w:r w:rsidR="00A90883" w:rsidRPr="00D03F93">
        <w:t>large profit margins</w:t>
      </w:r>
      <w:r w:rsidR="002D7F99">
        <w:t>”</w:t>
      </w:r>
      <w:r w:rsidR="00A90883" w:rsidRPr="00D03F93">
        <w:t xml:space="preserve"> and would welcome some clarifications on that point. </w:t>
      </w:r>
    </w:p>
    <w:p w14:paraId="6DD414E8" w14:textId="777A6842" w:rsidR="00391839" w:rsidRPr="00D03F93" w:rsidRDefault="00391839" w:rsidP="0037427F">
      <w:pPr>
        <w:pStyle w:val="Style1"/>
      </w:pPr>
      <w:r w:rsidRPr="00D03F93">
        <w:t>Regarding para. 106</w:t>
      </w:r>
      <w:r w:rsidR="00E12394" w:rsidRPr="00D03F93">
        <w:t xml:space="preserve"> of the Draft Guidelines</w:t>
      </w:r>
      <w:r w:rsidRPr="00D03F93">
        <w:t xml:space="preserve">, the APDC is concerned by the statement that buyer power does not offset potential adverse effects of a merger if it only ensures that a </w:t>
      </w:r>
      <w:r w:rsidR="002D7F99">
        <w:t>“</w:t>
      </w:r>
      <w:r w:rsidRPr="00D03F93">
        <w:rPr>
          <w:i/>
          <w:iCs/>
        </w:rPr>
        <w:t>segment of customers</w:t>
      </w:r>
      <w:r w:rsidR="002D7F99">
        <w:t>”</w:t>
      </w:r>
      <w:r w:rsidRPr="00D03F93">
        <w:t xml:space="preserve"> is shielded from deteriorated conditions.</w:t>
      </w:r>
    </w:p>
    <w:p w14:paraId="7C32F4A0" w14:textId="0E565B57" w:rsidR="00391839" w:rsidRPr="00D03F93" w:rsidRDefault="00244D9E" w:rsidP="003A1CBB">
      <w:pPr>
        <w:pStyle w:val="Style1"/>
      </w:pPr>
      <w:r w:rsidRPr="00D03F93">
        <w:t xml:space="preserve">In </w:t>
      </w:r>
      <w:r w:rsidR="00D25206" w:rsidRPr="00D03F93">
        <w:t>the APDC</w:t>
      </w:r>
      <w:r w:rsidR="002D7F99">
        <w:t>’</w:t>
      </w:r>
      <w:r w:rsidR="00D25206" w:rsidRPr="00D03F93">
        <w:t>s view</w:t>
      </w:r>
      <w:r w:rsidRPr="00D03F93">
        <w:t>,</w:t>
      </w:r>
      <w:r w:rsidR="00391839" w:rsidRPr="00D03F93">
        <w:t xml:space="preserve"> this approach overlooks the market-wide </w:t>
      </w:r>
      <w:r w:rsidR="002D7F99">
        <w:t>“</w:t>
      </w:r>
      <w:r w:rsidR="00391839" w:rsidRPr="00D03F93">
        <w:rPr>
          <w:i/>
          <w:iCs/>
        </w:rPr>
        <w:t>anchoring</w:t>
      </w:r>
      <w:r w:rsidR="002D7F99">
        <w:t>”</w:t>
      </w:r>
      <w:r w:rsidR="00391839" w:rsidRPr="00D03F93">
        <w:t xml:space="preserve"> effect that strong buyers frequently exert. In many markets, suppliers are unable to price-discriminate between customer categories due to high price transparency, arbitrage risks, or contractual mechanisms such as most-favoured-nation clauses. In such circumstances, the bargaining strength of key buyers effectively protects the entire market, including smaller customers, by keeping overall price levels competitive and quality standards high</w:t>
      </w:r>
      <w:r w:rsidR="00A717DC" w:rsidRPr="00D03F93">
        <w:t>.</w:t>
      </w:r>
      <w:r w:rsidR="003A1CBB" w:rsidRPr="00D03F93">
        <w:rPr>
          <w:rStyle w:val="FootnoteReference"/>
          <w:rFonts w:asciiTheme="majorBidi" w:eastAsia="Times New Roman" w:hAnsiTheme="majorBidi" w:cstheme="majorBidi"/>
          <w:color w:val="000000"/>
        </w:rPr>
        <w:footnoteReference w:id="8"/>
      </w:r>
      <w:r w:rsidR="003A1CBB" w:rsidRPr="00D03F93">
        <w:t xml:space="preserve"> It is also necessary to take into account which portion of the merging parties</w:t>
      </w:r>
      <w:r w:rsidR="002D7F99">
        <w:t>’</w:t>
      </w:r>
      <w:r w:rsidR="003A1CBB" w:rsidRPr="00D03F93">
        <w:t xml:space="preserve"> sales is accounted for by customers having significant buyer power: if this proportion is significant enough, the risk of losing these customers in case of an increase in prices or decrease in quality should be sufficient to constrain the behaviour of the notifying parties</w:t>
      </w:r>
      <w:r w:rsidR="00E61977">
        <w:t>,</w:t>
      </w:r>
      <w:r w:rsidR="00D2268D" w:rsidRPr="00D03F93">
        <w:rPr>
          <w:rStyle w:val="FootnoteReference"/>
        </w:rPr>
        <w:footnoteReference w:id="9"/>
      </w:r>
      <w:r w:rsidR="003A1CBB" w:rsidRPr="00D03F93">
        <w:t xml:space="preserve"> unless the Commission demonstrates that the parties will have a credible possibility to differentiate between different categories of customers. </w:t>
      </w:r>
    </w:p>
    <w:p w14:paraId="33B083D4" w14:textId="49F36899" w:rsidR="003A1CBB" w:rsidRPr="00D03F93" w:rsidRDefault="003A1CBB" w:rsidP="003A1CBB">
      <w:pPr>
        <w:pStyle w:val="Style1"/>
      </w:pPr>
      <w:r w:rsidRPr="00D03F93">
        <w:lastRenderedPageBreak/>
        <w:t>In para. 107</w:t>
      </w:r>
      <w:r w:rsidR="00E12394" w:rsidRPr="00D03F93">
        <w:t xml:space="preserve"> of the Draft Guidelines</w:t>
      </w:r>
      <w:r w:rsidRPr="00D03F93">
        <w:t>, the Commission recalls the General Court</w:t>
      </w:r>
      <w:r w:rsidR="002D7F99">
        <w:t>’</w:t>
      </w:r>
      <w:r w:rsidRPr="00D03F93">
        <w:t>s case law that buyer power is characteri</w:t>
      </w:r>
      <w:r w:rsidR="0020424E">
        <w:t>s</w:t>
      </w:r>
      <w:r w:rsidRPr="00D03F93">
        <w:t xml:space="preserve">ed when customers can switch suppliers </w:t>
      </w:r>
      <w:r w:rsidR="002D7F99">
        <w:t>“</w:t>
      </w:r>
      <w:r w:rsidRPr="00D03F93">
        <w:rPr>
          <w:i/>
          <w:iCs/>
        </w:rPr>
        <w:t>in a reasonable timeframe</w:t>
      </w:r>
      <w:r w:rsidR="002D7F99">
        <w:t>”</w:t>
      </w:r>
      <w:r w:rsidRPr="00D03F93">
        <w:t xml:space="preserve">. However, it proceeds to clarify that this condition is met when buyers can </w:t>
      </w:r>
      <w:r w:rsidR="002D7F99">
        <w:t>“</w:t>
      </w:r>
      <w:r w:rsidRPr="00D03F93">
        <w:rPr>
          <w:i/>
          <w:iCs/>
        </w:rPr>
        <w:t>immediately switch to other suppliers</w:t>
      </w:r>
      <w:r w:rsidR="002D7F99">
        <w:t>”</w:t>
      </w:r>
      <w:r w:rsidRPr="00D03F93">
        <w:t>, which is a much more stringent requirement tha</w:t>
      </w:r>
      <w:r w:rsidR="00F778B6" w:rsidRPr="00D03F93">
        <w:t>n</w:t>
      </w:r>
      <w:r w:rsidRPr="00D03F93">
        <w:t xml:space="preserve"> the Court</w:t>
      </w:r>
      <w:r w:rsidR="002D7F99">
        <w:t>’</w:t>
      </w:r>
      <w:r w:rsidRPr="00D03F93">
        <w:t xml:space="preserve">s. The APDC submits that the reasonable timeframe for switching should be assessed by reference to industry standards and market </w:t>
      </w:r>
      <w:proofErr w:type="gramStart"/>
      <w:r w:rsidRPr="00D03F93">
        <w:t>characteristics, and</w:t>
      </w:r>
      <w:proofErr w:type="gramEnd"/>
      <w:r w:rsidRPr="00D03F93">
        <w:t xml:space="preserve"> may in some instances not be immediate but take place over a few years (e.g. in markets with infrequent tenders). </w:t>
      </w:r>
    </w:p>
    <w:p w14:paraId="49DF9124" w14:textId="20298F53" w:rsidR="00391839" w:rsidRPr="00D03F93" w:rsidRDefault="00391839" w:rsidP="0037427F">
      <w:pPr>
        <w:pStyle w:val="Style1"/>
      </w:pPr>
      <w:r w:rsidRPr="00D03F93">
        <w:t>In para. 109</w:t>
      </w:r>
      <w:r w:rsidR="00E12394" w:rsidRPr="00D03F93">
        <w:t xml:space="preserve"> of the Draft Guidelines</w:t>
      </w:r>
      <w:r w:rsidRPr="00D03F93">
        <w:t xml:space="preserve">, the APDC welcomes the introduction of the </w:t>
      </w:r>
      <w:r w:rsidR="002D7F99">
        <w:t>“</w:t>
      </w:r>
      <w:r w:rsidRPr="00D03F93">
        <w:rPr>
          <w:i/>
          <w:iCs/>
        </w:rPr>
        <w:t>market maker</w:t>
      </w:r>
      <w:r w:rsidR="002D7F99">
        <w:t>”</w:t>
      </w:r>
      <w:r w:rsidRPr="00D03F93">
        <w:t xml:space="preserve"> concept. However, it considers limiting its application to monopsonist or certain specific market</w:t>
      </w:r>
      <w:r w:rsidR="001E7099" w:rsidRPr="00D03F93">
        <w:t>s are</w:t>
      </w:r>
      <w:r w:rsidRPr="00D03F93">
        <w:t xml:space="preserve"> too narrow.</w:t>
      </w:r>
    </w:p>
    <w:p w14:paraId="20CFE507" w14:textId="01431192" w:rsidR="00391839" w:rsidRPr="00D03F93" w:rsidRDefault="00391839" w:rsidP="003A1CBB">
      <w:pPr>
        <w:pStyle w:val="Style1"/>
      </w:pPr>
      <w:r w:rsidRPr="00D03F93">
        <w:t xml:space="preserve">The Draft Guidelines should broaden the concept of </w:t>
      </w:r>
      <w:r w:rsidR="002D7F99">
        <w:t>“</w:t>
      </w:r>
      <w:r w:rsidRPr="00D03F93">
        <w:rPr>
          <w:i/>
          <w:iCs/>
        </w:rPr>
        <w:t>market maker</w:t>
      </w:r>
      <w:r w:rsidR="002D7F99">
        <w:t>”</w:t>
      </w:r>
      <w:r w:rsidRPr="00D03F93">
        <w:t xml:space="preserve"> to include anchor customers whose purchasing decisions materially affect entry, expansion, innovation or supplier viability, even where they are not monopsonists.</w:t>
      </w:r>
      <w:r w:rsidR="003A1CBB" w:rsidRPr="00D03F93">
        <w:t xml:space="preserve"> In addition, the Commission</w:t>
      </w:r>
      <w:r w:rsidR="002D7F99">
        <w:t>’</w:t>
      </w:r>
      <w:r w:rsidR="003A1CBB" w:rsidRPr="00D03F93">
        <w:t xml:space="preserve">s assertion that, even in market with a monopsonist, </w:t>
      </w:r>
      <w:r w:rsidR="002D7F99">
        <w:t>“</w:t>
      </w:r>
      <w:r w:rsidR="003A1CBB" w:rsidRPr="00D03F93">
        <w:rPr>
          <w:i/>
          <w:iCs/>
        </w:rPr>
        <w:t>specific requirements like the need to maintain multiple potential suppliers to ensure supply resilience, can limit countervailing buyer power</w:t>
      </w:r>
      <w:r w:rsidR="002D7F99">
        <w:rPr>
          <w:i/>
          <w:iCs/>
        </w:rPr>
        <w:t>”</w:t>
      </w:r>
      <w:r w:rsidR="003A1CBB" w:rsidRPr="00D03F93">
        <w:t xml:space="preserve"> is highly debatable: in markets characteri</w:t>
      </w:r>
      <w:r w:rsidR="0020424E">
        <w:t>s</w:t>
      </w:r>
      <w:r w:rsidR="003A1CBB" w:rsidRPr="00D03F93">
        <w:t>ed by the existence of a single buyer, the monopsonist generally has the (financial and technical) ability to sponsor entry by transferring a significant portion of its purchases towards a new player and even providing the necessary IP rights (</w:t>
      </w:r>
      <w:r w:rsidR="003A1CBB" w:rsidRPr="00D03F93">
        <w:rPr>
          <w:i/>
          <w:iCs/>
        </w:rPr>
        <w:t>see e.g.</w:t>
      </w:r>
      <w:r w:rsidR="003A1CBB" w:rsidRPr="00D03F93">
        <w:t xml:space="preserve"> the defence markets). The Commission should therefore not automatically assume that the need for multi-sourcing limits buyer power. </w:t>
      </w:r>
    </w:p>
    <w:p w14:paraId="6291F3F0" w14:textId="0505CA36" w:rsidR="00391839" w:rsidRPr="00D03F93" w:rsidRDefault="00391839" w:rsidP="003A1CBB">
      <w:pPr>
        <w:pStyle w:val="Style1"/>
      </w:pPr>
      <w:r w:rsidRPr="00D03F93">
        <w:t>Finally, the APDC points out that the standard the Commission sets out in the Draft Guidelines for demonstrating the existence of countervailing purchasing power is, in practice, very high.</w:t>
      </w:r>
      <w:r w:rsidR="003A1CBB" w:rsidRPr="00D03F93">
        <w:t xml:space="preserve"> Instead, if a large majority of customers do not raise concerns regarding the transaction, the Commission should assume that they have sufficient buyer power to constrain the new entity</w:t>
      </w:r>
      <w:r w:rsidR="002D7F99">
        <w:t>’</w:t>
      </w:r>
      <w:r w:rsidR="003A1CBB" w:rsidRPr="00D03F93">
        <w:t xml:space="preserve">s behaviour, unless the Commission has credible reasons to consider that the transaction will affect in a differentiated manner the remaining customers. </w:t>
      </w:r>
    </w:p>
    <w:p w14:paraId="14483973" w14:textId="0B4F0799" w:rsidR="00391839" w:rsidRPr="00D03F93" w:rsidRDefault="00391839" w:rsidP="006340E6">
      <w:pPr>
        <w:pStyle w:val="Firm5L3"/>
      </w:pPr>
      <w:r w:rsidRPr="00D03F93">
        <w:t>Dominance and other types of market power</w:t>
      </w:r>
    </w:p>
    <w:p w14:paraId="31D09C89" w14:textId="749BF853" w:rsidR="00391839" w:rsidRPr="00D03F93" w:rsidRDefault="00391839" w:rsidP="0037427F">
      <w:pPr>
        <w:pStyle w:val="Style1"/>
      </w:pPr>
      <w:r w:rsidRPr="00D03F93">
        <w:t xml:space="preserve">At the outset, the APDC notes that the Draft Guidelines contain much </w:t>
      </w:r>
      <w:r w:rsidR="003E4A81">
        <w:t>fewer</w:t>
      </w:r>
      <w:r w:rsidRPr="00D03F93">
        <w:t xml:space="preserve"> references to the case-law than the Horizontal Guidelines, e.g. in paras. 111 and 112</w:t>
      </w:r>
      <w:r w:rsidR="00E62A8A" w:rsidRPr="00D03F93">
        <w:t xml:space="preserve"> of the Draft Guidelines</w:t>
      </w:r>
      <w:r w:rsidRPr="00D03F93">
        <w:t>. In the APDC</w:t>
      </w:r>
      <w:r w:rsidR="002D7F99">
        <w:t>’</w:t>
      </w:r>
      <w:r w:rsidRPr="00D03F93">
        <w:t>s view, the Draft Guidelines should provide precise references to the relevant precedents (case-law or</w:t>
      </w:r>
      <w:proofErr w:type="gramStart"/>
      <w:r w:rsidRPr="00D03F93">
        <w:t>, as the case may be, examples</w:t>
      </w:r>
      <w:proofErr w:type="gramEnd"/>
      <w:r w:rsidRPr="00D03F93">
        <w:t xml:space="preserve"> in the decision-making practice), even when the Commission refers to well-established concepts or substantive tests. </w:t>
      </w:r>
    </w:p>
    <w:p w14:paraId="0C5B9BEE" w14:textId="692176D0" w:rsidR="00BC1741" w:rsidRPr="00F63A87" w:rsidRDefault="000132A5" w:rsidP="00BC1741">
      <w:pPr>
        <w:pStyle w:val="Firm1L1"/>
        <w:rPr>
          <w:lang w:eastAsia="zh-CN"/>
        </w:rPr>
      </w:pPr>
      <w:r w:rsidRPr="00F63A87">
        <w:rPr>
          <w:lang w:eastAsia="zh-CN"/>
        </w:rPr>
        <w:t xml:space="preserve">The APDC's </w:t>
      </w:r>
      <w:r w:rsidR="00340271">
        <w:t>main</w:t>
      </w:r>
      <w:r w:rsidR="006E54D6">
        <w:t xml:space="preserve"> </w:t>
      </w:r>
      <w:r w:rsidRPr="00F63A87">
        <w:rPr>
          <w:lang w:eastAsia="zh-CN"/>
        </w:rPr>
        <w:t xml:space="preserve">comment on this section concerns paragraph 112 of the Draft Guidelines, which introduces a shift in the characterisation of dominance compared to the Horizontal Guidelines. </w:t>
      </w:r>
      <w:r w:rsidR="00340271">
        <w:t>More precisely, u</w:t>
      </w:r>
      <w:r w:rsidRPr="000132A5">
        <w:t>nder</w:t>
      </w:r>
      <w:r w:rsidRPr="00F63A87">
        <w:rPr>
          <w:lang w:eastAsia="zh-CN"/>
        </w:rPr>
        <w:t xml:space="preserve"> the Horizontal Guidelines, </w:t>
      </w:r>
      <w:r w:rsidR="00340271">
        <w:t xml:space="preserve">the Commission indicates that </w:t>
      </w:r>
      <w:r w:rsidRPr="00F63A87">
        <w:rPr>
          <w:lang w:eastAsia="zh-CN"/>
        </w:rPr>
        <w:t>a market share of 50% "</w:t>
      </w:r>
      <w:r w:rsidRPr="00D71B7B">
        <w:rPr>
          <w:i/>
          <w:iCs/>
          <w:lang w:eastAsia="zh-CN"/>
        </w:rPr>
        <w:t>may</w:t>
      </w:r>
      <w:r w:rsidRPr="00F63A87">
        <w:rPr>
          <w:lang w:eastAsia="zh-CN"/>
        </w:rPr>
        <w:t xml:space="preserve">" constitute evidence of a dominant position. </w:t>
      </w:r>
      <w:r w:rsidR="00340271">
        <w:t>Now, t</w:t>
      </w:r>
      <w:r w:rsidRPr="000132A5">
        <w:t>he</w:t>
      </w:r>
      <w:r w:rsidRPr="00F63A87">
        <w:rPr>
          <w:lang w:eastAsia="zh-CN"/>
        </w:rPr>
        <w:t xml:space="preserve"> Draft Guidelines replace "</w:t>
      </w:r>
      <w:r w:rsidRPr="009B093F">
        <w:rPr>
          <w:i/>
          <w:iCs/>
          <w:lang w:eastAsia="zh-CN"/>
        </w:rPr>
        <w:t>may</w:t>
      </w:r>
      <w:r w:rsidRPr="00F63A87">
        <w:rPr>
          <w:lang w:eastAsia="zh-CN"/>
        </w:rPr>
        <w:t>" with "</w:t>
      </w:r>
      <w:r w:rsidRPr="009B093F">
        <w:rPr>
          <w:i/>
          <w:iCs/>
          <w:lang w:eastAsia="zh-CN"/>
        </w:rPr>
        <w:t>are</w:t>
      </w:r>
      <w:r w:rsidRPr="00F63A87">
        <w:rPr>
          <w:lang w:eastAsia="zh-CN"/>
        </w:rPr>
        <w:t xml:space="preserve">", </w:t>
      </w:r>
      <w:r w:rsidR="006E54D6">
        <w:t>suggesting</w:t>
      </w:r>
      <w:r w:rsidR="006E54D6" w:rsidRPr="00F63A87">
        <w:rPr>
          <w:lang w:eastAsia="zh-CN"/>
        </w:rPr>
        <w:t xml:space="preserve"> </w:t>
      </w:r>
      <w:r w:rsidRPr="00F63A87">
        <w:rPr>
          <w:lang w:eastAsia="zh-CN"/>
        </w:rPr>
        <w:t xml:space="preserve">that a 50% or more market share </w:t>
      </w:r>
      <w:proofErr w:type="gramStart"/>
      <w:r w:rsidRPr="00F63A87">
        <w:rPr>
          <w:lang w:eastAsia="zh-CN"/>
        </w:rPr>
        <w:t>lead</w:t>
      </w:r>
      <w:proofErr w:type="gramEnd"/>
      <w:r w:rsidRPr="00F63A87">
        <w:rPr>
          <w:lang w:eastAsia="zh-CN"/>
        </w:rPr>
        <w:t xml:space="preserve"> to a finding of dominance - effectively creating an almost non-rebuttable presumption.</w:t>
      </w:r>
    </w:p>
    <w:p w14:paraId="1684C730" w14:textId="77777777" w:rsidR="00516303" w:rsidRDefault="00BC1741" w:rsidP="00516303">
      <w:pPr>
        <w:pStyle w:val="Firm1L1"/>
        <w:rPr>
          <w:lang w:eastAsia="zh-CN"/>
        </w:rPr>
      </w:pPr>
      <w:r w:rsidRPr="00F63A87">
        <w:rPr>
          <w:lang w:eastAsia="zh-CN"/>
        </w:rPr>
        <w:lastRenderedPageBreak/>
        <w:t>The APDC disagrees with this shift</w:t>
      </w:r>
      <w:r w:rsidR="00516303" w:rsidRPr="00516303">
        <w:t xml:space="preserve"> </w:t>
      </w:r>
      <w:r w:rsidR="00516303">
        <w:t xml:space="preserve">and </w:t>
      </w:r>
      <w:r w:rsidR="00516303">
        <w:t>invites the Commission to reinstate the language of the Horizontal Guidelines</w:t>
      </w:r>
      <w:r w:rsidRPr="00F63A87">
        <w:rPr>
          <w:lang w:eastAsia="zh-CN"/>
        </w:rPr>
        <w:t xml:space="preserve">. </w:t>
      </w:r>
    </w:p>
    <w:p w14:paraId="69ED6EE6" w14:textId="6BC845EA" w:rsidR="005C76C8" w:rsidRPr="00D03F93" w:rsidRDefault="00BC1741" w:rsidP="00516303">
      <w:pPr>
        <w:pStyle w:val="Firm1L1"/>
        <w:rPr>
          <w:lang w:eastAsia="zh-CN"/>
        </w:rPr>
      </w:pPr>
      <w:r w:rsidRPr="00F63A87">
        <w:rPr>
          <w:lang w:eastAsia="zh-CN"/>
        </w:rPr>
        <w:t>Market shares are one indicator among many, and the Commission must always consider the broader market context - including the functioning of the market, entry and expansion barriers, the number and strength of competitors, and customers' countervailing buyer power. This holds true even where market sha</w:t>
      </w:r>
      <w:r w:rsidR="00516303">
        <w:rPr>
          <w:lang w:eastAsia="zh-CN"/>
        </w:rPr>
        <w:t xml:space="preserve">res </w:t>
      </w:r>
      <w:r w:rsidRPr="00F63A87">
        <w:rPr>
          <w:lang w:eastAsia="zh-CN"/>
        </w:rPr>
        <w:t>exceed 50%, and market shares should never be treated as the sole determinative factor in a dominance assessment.</w:t>
      </w:r>
    </w:p>
    <w:p w14:paraId="6DE7383A" w14:textId="3A5831ED" w:rsidR="00714727" w:rsidRPr="00D03F93" w:rsidRDefault="00391839" w:rsidP="00254A61">
      <w:pPr>
        <w:pStyle w:val="Style1"/>
      </w:pPr>
      <w:r w:rsidRPr="00D03F93">
        <w:t xml:space="preserve">Apart from that, the APDC welcomes the addition of the words </w:t>
      </w:r>
      <w:r w:rsidR="002D7F99">
        <w:t>“</w:t>
      </w:r>
      <w:r w:rsidRPr="00D03F93">
        <w:rPr>
          <w:i/>
          <w:iCs/>
        </w:rPr>
        <w:t>over a sustained period of time</w:t>
      </w:r>
      <w:r w:rsidR="002D7F99">
        <w:t>”</w:t>
      </w:r>
      <w:r w:rsidRPr="00D03F93">
        <w:t xml:space="preserve"> in para. 112</w:t>
      </w:r>
      <w:r w:rsidR="005B482B" w:rsidRPr="00D03F93">
        <w:t xml:space="preserve"> of the Draft Guidelines</w:t>
      </w:r>
      <w:r w:rsidRPr="00D03F93">
        <w:t xml:space="preserve">, which suggests that holding a market share during a short period of time would disqualify a finding of dominance. However, the APDC submits that for this requirement to be useful to companies notifying mergers, the Commission should clarify what would be regarded as </w:t>
      </w:r>
      <w:r w:rsidR="002D7F99">
        <w:t>“</w:t>
      </w:r>
      <w:r w:rsidRPr="00D03F93">
        <w:rPr>
          <w:i/>
          <w:iCs/>
        </w:rPr>
        <w:t>a sustained period of time</w:t>
      </w:r>
      <w:r w:rsidR="002D7F99">
        <w:t>”</w:t>
      </w:r>
      <w:r w:rsidRPr="00D03F93">
        <w:t xml:space="preserve"> in practice. </w:t>
      </w:r>
    </w:p>
    <w:p w14:paraId="7FB24B7E" w14:textId="62E0CA79" w:rsidR="0010533D" w:rsidRPr="00D03F93" w:rsidRDefault="00391839" w:rsidP="0037427F">
      <w:pPr>
        <w:pStyle w:val="Style1"/>
      </w:pPr>
      <w:r w:rsidRPr="00D03F93">
        <w:t xml:space="preserve">As regards elements for finding dominance in cases where market shares are below 50%, the APDC notes that the Draft Guidelines mention </w:t>
      </w:r>
      <w:r w:rsidR="002D7F99">
        <w:t>“</w:t>
      </w:r>
      <w:r w:rsidRPr="00D03F93">
        <w:rPr>
          <w:i/>
          <w:iCs/>
        </w:rPr>
        <w:t>factors other than market shares, such as the strength and number of competitors</w:t>
      </w:r>
      <w:r w:rsidR="002D7F99">
        <w:t>”</w:t>
      </w:r>
      <w:r w:rsidR="00E61977">
        <w:t>.</w:t>
      </w:r>
      <w:r w:rsidRPr="00D03F93">
        <w:rPr>
          <w:rStyle w:val="FootnoteReference"/>
          <w:rFonts w:eastAsia="Calibri"/>
        </w:rPr>
        <w:footnoteReference w:id="10"/>
      </w:r>
      <w:r w:rsidRPr="00D03F93">
        <w:t xml:space="preserve"> The APDC submits that the Commission should provide clearer guidance on such other factors which may lead to a finding of dominance in cases where market shares are below 50% and in particular whether these factors are the same as those which may be considered for rebutting dominance in case of market share above 50%.</w:t>
      </w:r>
    </w:p>
    <w:p w14:paraId="0F698904" w14:textId="77777777" w:rsidR="00F84508" w:rsidRPr="00D03F93" w:rsidRDefault="00F84508" w:rsidP="00F84508">
      <w:pPr>
        <w:pStyle w:val="Style1"/>
        <w:numPr>
          <w:ilvl w:val="0"/>
          <w:numId w:val="0"/>
        </w:numPr>
        <w:ind w:left="709"/>
      </w:pPr>
    </w:p>
    <w:p w14:paraId="0B64E5D5" w14:textId="77777777" w:rsidR="009E782C" w:rsidRPr="00D03F93" w:rsidRDefault="009E782C">
      <w:pPr>
        <w:rPr>
          <w:rFonts w:eastAsia="SimSun" w:cs="Times New Roman"/>
          <w:b/>
        </w:rPr>
      </w:pPr>
      <w:r w:rsidRPr="00D03F93">
        <w:br w:type="page"/>
      </w:r>
    </w:p>
    <w:p w14:paraId="76071E5A" w14:textId="763FDF42" w:rsidR="00391839" w:rsidRPr="00D03F93" w:rsidRDefault="00391839" w:rsidP="006340E6">
      <w:pPr>
        <w:pStyle w:val="Firm5L1"/>
      </w:pPr>
      <w:r w:rsidRPr="00D03F93">
        <w:lastRenderedPageBreak/>
        <w:t>ANTICOMPETITIVE EFFECTS</w:t>
      </w:r>
    </w:p>
    <w:p w14:paraId="71333AD4" w14:textId="166F8109" w:rsidR="00DA579E" w:rsidRPr="00D03F93" w:rsidRDefault="007A50F1" w:rsidP="000506D9">
      <w:pPr>
        <w:pStyle w:val="Style1"/>
        <w:rPr>
          <w:u w:val="single"/>
        </w:rPr>
      </w:pPr>
      <w:r w:rsidRPr="00D03F93">
        <w:rPr>
          <w:u w:val="single"/>
        </w:rPr>
        <w:t>General introduction</w:t>
      </w:r>
      <w:r w:rsidR="001017BF" w:rsidRPr="00D03F93">
        <w:t xml:space="preserve">. </w:t>
      </w:r>
      <w:r w:rsidR="004A2842" w:rsidRPr="00D03F93">
        <w:t>The APDC</w:t>
      </w:r>
      <w:r w:rsidR="00DA579E" w:rsidRPr="00D03F93">
        <w:t xml:space="preserve"> wishes to raise several reservations regarding certain of these</w:t>
      </w:r>
      <w:r w:rsidR="00A36623" w:rsidRPr="00D03F93">
        <w:t xml:space="preserve"> effects</w:t>
      </w:r>
      <w:r w:rsidR="00DA579E" w:rsidRPr="00D03F93">
        <w:t xml:space="preserve">, namely: </w:t>
      </w:r>
      <w:r w:rsidR="00DA579E" w:rsidRPr="00D03F93">
        <w:rPr>
          <w:b/>
          <w:bCs/>
        </w:rPr>
        <w:t>(</w:t>
      </w:r>
      <w:r w:rsidR="001017BF" w:rsidRPr="00D03F93">
        <w:rPr>
          <w:b/>
          <w:bCs/>
        </w:rPr>
        <w:t>1</w:t>
      </w:r>
      <w:r w:rsidR="00DA579E" w:rsidRPr="00D03F93">
        <w:rPr>
          <w:b/>
          <w:bCs/>
        </w:rPr>
        <w:t xml:space="preserve">) </w:t>
      </w:r>
      <w:r w:rsidR="00092A02" w:rsidRPr="00D03F93">
        <w:t xml:space="preserve">the </w:t>
      </w:r>
      <w:r w:rsidR="00DA579E" w:rsidRPr="00D03F93">
        <w:t xml:space="preserve">loss of head-to-head competition, </w:t>
      </w:r>
      <w:r w:rsidR="00DA579E" w:rsidRPr="00D03F93">
        <w:rPr>
          <w:b/>
          <w:bCs/>
        </w:rPr>
        <w:t>(</w:t>
      </w:r>
      <w:r w:rsidR="001017BF" w:rsidRPr="00D03F93">
        <w:rPr>
          <w:b/>
          <w:bCs/>
        </w:rPr>
        <w:t>2</w:t>
      </w:r>
      <w:r w:rsidR="00DA579E" w:rsidRPr="00D03F93">
        <w:rPr>
          <w:b/>
          <w:bCs/>
        </w:rPr>
        <w:t xml:space="preserve">) </w:t>
      </w:r>
      <w:r w:rsidR="00092A02" w:rsidRPr="00D03F93">
        <w:t xml:space="preserve">the </w:t>
      </w:r>
      <w:r w:rsidR="00DA579E" w:rsidRPr="00D03F93">
        <w:t xml:space="preserve">loss of investment and expansion competition, </w:t>
      </w:r>
      <w:r w:rsidR="00DA579E" w:rsidRPr="00D03F93">
        <w:rPr>
          <w:b/>
          <w:bCs/>
        </w:rPr>
        <w:t>(</w:t>
      </w:r>
      <w:r w:rsidR="001017BF" w:rsidRPr="00D03F93">
        <w:rPr>
          <w:b/>
          <w:bCs/>
        </w:rPr>
        <w:t>3</w:t>
      </w:r>
      <w:r w:rsidR="00DA579E" w:rsidRPr="00D03F93">
        <w:rPr>
          <w:b/>
          <w:bCs/>
        </w:rPr>
        <w:t>)</w:t>
      </w:r>
      <w:r w:rsidR="00092A02" w:rsidRPr="00D03F93">
        <w:t xml:space="preserve"> the</w:t>
      </w:r>
      <w:r w:rsidR="00DA579E" w:rsidRPr="00D03F93">
        <w:t xml:space="preserve"> loss of innovation competition, </w:t>
      </w:r>
      <w:r w:rsidR="00DA579E" w:rsidRPr="00D03F93">
        <w:rPr>
          <w:b/>
          <w:bCs/>
        </w:rPr>
        <w:t>(</w:t>
      </w:r>
      <w:r w:rsidR="00AD366B" w:rsidRPr="00D03F93">
        <w:rPr>
          <w:b/>
          <w:bCs/>
        </w:rPr>
        <w:t>4</w:t>
      </w:r>
      <w:r w:rsidR="00DA579E" w:rsidRPr="00D03F93">
        <w:rPr>
          <w:b/>
          <w:bCs/>
        </w:rPr>
        <w:t>)</w:t>
      </w:r>
      <w:r w:rsidR="00DA579E" w:rsidRPr="00D03F93">
        <w:t xml:space="preserve"> </w:t>
      </w:r>
      <w:r w:rsidR="00092A02" w:rsidRPr="00D03F93">
        <w:t xml:space="preserve">the </w:t>
      </w:r>
      <w:r w:rsidR="00DA579E" w:rsidRPr="00D03F93">
        <w:t xml:space="preserve">entrenchment of a dominant position, </w:t>
      </w:r>
      <w:r w:rsidR="00DA579E" w:rsidRPr="00D03F93">
        <w:rPr>
          <w:b/>
          <w:bCs/>
        </w:rPr>
        <w:t>(</w:t>
      </w:r>
      <w:r w:rsidR="00AD366B" w:rsidRPr="00D03F93">
        <w:rPr>
          <w:b/>
          <w:bCs/>
        </w:rPr>
        <w:t>5</w:t>
      </w:r>
      <w:r w:rsidR="00DA579E" w:rsidRPr="00D03F93">
        <w:rPr>
          <w:b/>
          <w:bCs/>
        </w:rPr>
        <w:t>)</w:t>
      </w:r>
      <w:r w:rsidR="00DA579E" w:rsidRPr="00D03F93">
        <w:t xml:space="preserve"> </w:t>
      </w:r>
      <w:r w:rsidR="00092A02" w:rsidRPr="00D03F93">
        <w:t xml:space="preserve">the </w:t>
      </w:r>
      <w:r w:rsidR="00DA579E" w:rsidRPr="00D03F93">
        <w:t xml:space="preserve">coordination, and </w:t>
      </w:r>
      <w:r w:rsidR="00DA579E" w:rsidRPr="00D03F93">
        <w:rPr>
          <w:b/>
          <w:bCs/>
        </w:rPr>
        <w:t>(</w:t>
      </w:r>
      <w:r w:rsidR="00AD366B" w:rsidRPr="00D03F93">
        <w:rPr>
          <w:b/>
          <w:bCs/>
        </w:rPr>
        <w:t>6</w:t>
      </w:r>
      <w:r w:rsidR="00DA579E" w:rsidRPr="00D03F93">
        <w:rPr>
          <w:b/>
          <w:bCs/>
        </w:rPr>
        <w:t>)</w:t>
      </w:r>
      <w:r w:rsidR="00092A02" w:rsidRPr="00D03F93">
        <w:t xml:space="preserve"> the</w:t>
      </w:r>
      <w:r w:rsidR="00DA579E" w:rsidRPr="00D03F93">
        <w:t xml:space="preserve"> other anticompetitive effects.</w:t>
      </w:r>
    </w:p>
    <w:p w14:paraId="28B61942" w14:textId="31801FBF" w:rsidR="00391839" w:rsidRPr="00D03F93" w:rsidRDefault="00391839" w:rsidP="006340E6">
      <w:pPr>
        <w:pStyle w:val="Firm5L2"/>
      </w:pPr>
      <w:r w:rsidRPr="00D03F93">
        <w:t>Loss of head-to-head competition</w:t>
      </w:r>
    </w:p>
    <w:p w14:paraId="36FD9CC2" w14:textId="2D5A53B7" w:rsidR="00216A0A" w:rsidRPr="00D03F93" w:rsidRDefault="00611EDE" w:rsidP="006340E6">
      <w:pPr>
        <w:pStyle w:val="Firm5L3"/>
      </w:pPr>
      <w:r w:rsidRPr="00D03F93">
        <w:t>Labour markets</w:t>
      </w:r>
    </w:p>
    <w:p w14:paraId="53615C42" w14:textId="77777777" w:rsidR="00090ECE" w:rsidRPr="00D03F93" w:rsidRDefault="00090ECE" w:rsidP="00090ECE">
      <w:pPr>
        <w:pStyle w:val="Style1"/>
      </w:pPr>
      <w:r w:rsidRPr="00D03F93">
        <w:t>For the reasons outlined below, the APDC considers that the Draft Guidelines in paras. 160-162 risk overstating the significance of labour market effects and would benefit from clarification that labour market effects will be assessed only where they are linked to harm in downstream markets.</w:t>
      </w:r>
      <w:r w:rsidRPr="00D03F93" w:rsidDel="000626E8">
        <w:t xml:space="preserve"> </w:t>
      </w:r>
    </w:p>
    <w:p w14:paraId="3AC1D671" w14:textId="2D178E09" w:rsidR="00D94CD9" w:rsidRPr="00D03F93" w:rsidRDefault="00276239" w:rsidP="00D94CD9">
      <w:pPr>
        <w:pStyle w:val="Style1"/>
      </w:pPr>
      <w:r w:rsidRPr="00D03F93">
        <w:t>First, the suggestion that downward pressure on wages could</w:t>
      </w:r>
      <w:proofErr w:type="gramStart"/>
      <w:r w:rsidRPr="00D03F93">
        <w:t>, in itself, justify</w:t>
      </w:r>
      <w:proofErr w:type="gramEnd"/>
      <w:r w:rsidRPr="00D03F93">
        <w:t xml:space="preserve"> intervention raises important questions. Under the </w:t>
      </w:r>
      <w:r w:rsidR="00ED196B" w:rsidRPr="00D03F93">
        <w:t>European Merger</w:t>
      </w:r>
      <w:r w:rsidR="000D07D6" w:rsidRPr="00D03F93">
        <w:t xml:space="preserve"> Regulation</w:t>
      </w:r>
      <w:r w:rsidR="008B3DB7" w:rsidRPr="00D03F93">
        <w:rPr>
          <w:rStyle w:val="FootnoteReference"/>
        </w:rPr>
        <w:footnoteReference w:id="11"/>
      </w:r>
      <w:r w:rsidR="000D07D6" w:rsidRPr="00D03F93">
        <w:t xml:space="preserve"> </w:t>
      </w:r>
      <w:r w:rsidR="008B3DB7" w:rsidRPr="00D03F93">
        <w:t>(</w:t>
      </w:r>
      <w:r w:rsidR="0026370F" w:rsidRPr="00D03F93">
        <w:t xml:space="preserve">the </w:t>
      </w:r>
      <w:r w:rsidR="002D7F99">
        <w:t>“</w:t>
      </w:r>
      <w:r w:rsidRPr="00D03F93">
        <w:rPr>
          <w:b/>
          <w:bCs/>
        </w:rPr>
        <w:t>EUMR</w:t>
      </w:r>
      <w:r w:rsidR="002D7F99">
        <w:t>”</w:t>
      </w:r>
      <w:r w:rsidR="008B3DB7" w:rsidRPr="00D03F93">
        <w:t>)</w:t>
      </w:r>
      <w:r w:rsidRPr="00D03F93">
        <w:t>, competition concerns require a significant impediment to effective competition (</w:t>
      </w:r>
      <w:r w:rsidR="002D7F99">
        <w:t>“</w:t>
      </w:r>
      <w:r w:rsidRPr="00D03F93">
        <w:rPr>
          <w:b/>
          <w:bCs/>
        </w:rPr>
        <w:t>SIEC</w:t>
      </w:r>
      <w:r w:rsidR="002D7F99">
        <w:t>”</w:t>
      </w:r>
      <w:r w:rsidRPr="00D03F93">
        <w:t>), which in practice has meant demonstrating harm to consumers in downstream markets. In the APDC</w:t>
      </w:r>
      <w:r w:rsidR="002D7F99">
        <w:t>’</w:t>
      </w:r>
      <w:r w:rsidRPr="00D03F93">
        <w:t>s view, any assessment of labour market effects should therefore be firmly anchored in a demonstrable theory of harm to downstream competition, for example where buyer power leads to reduced output, quality or innovation. Absent such a link, wage effects alone should not be treated as sufficient to establish an impediment to effective competition.</w:t>
      </w:r>
      <w:r w:rsidR="00D94CD9" w:rsidRPr="00D03F93">
        <w:t xml:space="preserve"> </w:t>
      </w:r>
    </w:p>
    <w:p w14:paraId="29B71F1A" w14:textId="77777777" w:rsidR="00864791" w:rsidRPr="00D03F93" w:rsidRDefault="00D94CD9" w:rsidP="00864791">
      <w:pPr>
        <w:pStyle w:val="Style1"/>
      </w:pPr>
      <w:r w:rsidRPr="00D03F93">
        <w:t>This demonstration of anticompetitive effects on the downstream market is particularly important since, in principle, downward pressure on wages may rather have pro-competitive effects on downstream markets. Indeed, wages typically represent a material production cost for undertakings (especially in labour-intensive industries), and a reduction in these costs may be passed on to customers on the downstream markets in the form of lower prices, although this will depend on the extent of pass-through and the degree of competition on those markets.</w:t>
      </w:r>
      <w:r w:rsidR="00864791" w:rsidRPr="00D03F93">
        <w:t xml:space="preserve"> </w:t>
      </w:r>
    </w:p>
    <w:p w14:paraId="7D404496" w14:textId="0BF2EE07" w:rsidR="00AB4BF2" w:rsidRPr="00D03F93" w:rsidRDefault="00AB4BF2" w:rsidP="00B24CAC">
      <w:pPr>
        <w:pStyle w:val="Firm1L1"/>
      </w:pPr>
      <w:r w:rsidRPr="00D03F93">
        <w:t xml:space="preserve">Second, the Draft Guidelines appear to ascribe a level of practical relevance to labour monopsony concerns that is not borne out by enforcement practice. To date, the Commission has not prohibited a transaction </w:t>
      </w:r>
      <w:r w:rsidR="007A008C" w:rsidRPr="00D03F93">
        <w:t xml:space="preserve">or even </w:t>
      </w:r>
      <w:r w:rsidR="00B24CAC" w:rsidRPr="00D03F93">
        <w:t>c</w:t>
      </w:r>
      <w:r w:rsidR="007A008C" w:rsidRPr="00D03F93">
        <w:t xml:space="preserve">leared a transaction with remedies </w:t>
      </w:r>
      <w:r w:rsidRPr="00D03F93">
        <w:t xml:space="preserve">solely </w:t>
      </w:r>
      <w:proofErr w:type="gramStart"/>
      <w:r w:rsidRPr="00D03F93">
        <w:t>on the basis of</w:t>
      </w:r>
      <w:proofErr w:type="gramEnd"/>
      <w:r w:rsidRPr="00D03F93">
        <w:t xml:space="preserve"> labour market effects, and such cases remain largely theoretical at this stage. As such, labour market issues are unlikely to arise as a standalone basis for intervention and should not be positioned as such in the Draft Guidelines.</w:t>
      </w:r>
    </w:p>
    <w:p w14:paraId="532168B0" w14:textId="0EE532C5" w:rsidR="00F665C6" w:rsidRPr="00D03F93" w:rsidRDefault="00864791" w:rsidP="00F665C6">
      <w:pPr>
        <w:pStyle w:val="Style1"/>
      </w:pPr>
      <w:r w:rsidRPr="00D03F93">
        <w:t>Third, the inclusion of a generalised requirement to assess labour markets risks imposing disproportionate administrative burdens with limited incremental benefit. In many cases-particularly where product markets are local</w:t>
      </w:r>
      <w:r w:rsidR="00AA5E2F" w:rsidRPr="00D03F93">
        <w:t xml:space="preserve"> – </w:t>
      </w:r>
      <w:r w:rsidRPr="00D03F93">
        <w:t xml:space="preserve">the competitive assessment of downstream markets will serve as a reliable proxy for upstream labour conditions. </w:t>
      </w:r>
      <w:r w:rsidRPr="00D03F93">
        <w:lastRenderedPageBreak/>
        <w:t>Where no competition concerns arise in the relevant product markets, it is unlikely that a detailed labour market analysis would alter the outcome.</w:t>
      </w:r>
      <w:r w:rsidR="00F665C6" w:rsidRPr="00D03F93">
        <w:t xml:space="preserve"> </w:t>
      </w:r>
    </w:p>
    <w:p w14:paraId="7D0CCB52" w14:textId="26D5FF1A" w:rsidR="00611EDE" w:rsidRPr="00D03F93" w:rsidRDefault="00F665C6" w:rsidP="00F665C6">
      <w:pPr>
        <w:pStyle w:val="Style1"/>
      </w:pPr>
      <w:r w:rsidRPr="00D03F93">
        <w:t xml:space="preserve">In summary, for the reasons described above, the APDC recommends addressing monopsony power only within the general buyer power framework set out in </w:t>
      </w:r>
      <w:r w:rsidR="000A276A" w:rsidRPr="00D03F93">
        <w:t>paras.</w:t>
      </w:r>
      <w:r w:rsidRPr="00D03F93">
        <w:t xml:space="preserve"> 158 and 159. This ensures the </w:t>
      </w:r>
      <w:r w:rsidR="00E13AE7" w:rsidRPr="00D03F93">
        <w:t xml:space="preserve">Draft Guidelines </w:t>
      </w:r>
      <w:r w:rsidRPr="00D03F93">
        <w:t xml:space="preserve">provide clear, general principles applicable to any input market (including labour), rather than singling out labour markets in isolation. Over-emphasising labour markets alone might skew enforcement priorities, whereas a balanced treatment of buyer power in all input markets (raw materials, services, labour, etc.) would ensure the </w:t>
      </w:r>
      <w:r w:rsidR="009C1CD3" w:rsidRPr="00D03F93">
        <w:t xml:space="preserve">Draft Guidelines </w:t>
      </w:r>
      <w:r w:rsidRPr="00D03F93">
        <w:t>remain neutral and economically grounded. In other words, the same analytical framework used for buyer power generally (e.g. assessing purchasing market share, availability of alternative buyers, and potential pass-through to consumers) would naturally cover labour markets where relevant.</w:t>
      </w:r>
    </w:p>
    <w:p w14:paraId="1D8B7CE5" w14:textId="52C549FA" w:rsidR="00611EDE" w:rsidRPr="00D03F93" w:rsidRDefault="00D15324" w:rsidP="006340E6">
      <w:pPr>
        <w:pStyle w:val="Firm5L3"/>
      </w:pPr>
      <w:r w:rsidRPr="00D03F93">
        <w:t xml:space="preserve">Minority shareholdings and common </w:t>
      </w:r>
      <w:r w:rsidR="00653692" w:rsidRPr="00D03F93">
        <w:t>ownership</w:t>
      </w:r>
    </w:p>
    <w:p w14:paraId="7F49B154" w14:textId="77777777" w:rsidR="00AB4BF2" w:rsidRPr="00D03F93" w:rsidRDefault="00AB4BF2" w:rsidP="00AB4BF2">
      <w:pPr>
        <w:pStyle w:val="Firm1L1"/>
        <w:rPr>
          <w:kern w:val="2"/>
          <w:szCs w:val="22"/>
          <w:lang w:eastAsia="zh-CN"/>
          <w14:ligatures w14:val="standardContextual"/>
        </w:rPr>
      </w:pPr>
      <w:r w:rsidRPr="00D03F93">
        <w:t>Paras. 163 to 168 of the Draft Guidelines represent a significant extension of the analytical framework, recognising non-controlling minority shareholdings and common institutional ownership as factors capable of reducing competitive pressure post-merger.</w:t>
      </w:r>
    </w:p>
    <w:p w14:paraId="50919C03" w14:textId="7BB0C86E" w:rsidR="00AB4BF2" w:rsidRPr="00D03F93" w:rsidRDefault="00AB4BF2" w:rsidP="00AB4BF2">
      <w:pPr>
        <w:pStyle w:val="Firm1L1"/>
        <w:rPr>
          <w:kern w:val="2"/>
          <w:szCs w:val="22"/>
          <w:lang w:eastAsia="zh-CN"/>
          <w14:ligatures w14:val="standardContextual"/>
        </w:rPr>
      </w:pPr>
      <w:r w:rsidRPr="00D03F93">
        <w:t>With respect to minority shareholdings, para. 165 indicates that ownership stakes below 5% are not considered relevant for the competitive assessment as a potential standalone theory of harm (except if additional rights or links could give rise to competition concerns). However, this low percentage level gives limited practical significance to this safe harbour and offers little reassurance to merging parties. Furthermore, absent additional governance or veto rights, a modest equity stake is unlikely to confer meaningful influence over the target</w:t>
      </w:r>
      <w:r w:rsidR="002D7F99">
        <w:t>’</w:t>
      </w:r>
      <w:r w:rsidRPr="00D03F93">
        <w:t xml:space="preserve">s commercial strategy, let alone override the interests of shareholders collectively holding </w:t>
      </w:r>
      <w:proofErr w:type="gramStart"/>
      <w:r w:rsidRPr="00D03F93">
        <w:t>the vast majority of</w:t>
      </w:r>
      <w:proofErr w:type="gramEnd"/>
      <w:r w:rsidRPr="00D03F93">
        <w:t xml:space="preserve"> the capital. The APDC therefore recommends (i) increasing this safe harbour to a percentage level that provides meaningful certainty to merging parties and (ii) only considering as relevant for the competitive assessment any minority shareholdings that grant the shareholder a right to board representation.</w:t>
      </w:r>
    </w:p>
    <w:p w14:paraId="7D6EABAE" w14:textId="52271731" w:rsidR="00201F6E" w:rsidRPr="00D03F93" w:rsidRDefault="006D7D7A" w:rsidP="000506D9">
      <w:pPr>
        <w:pStyle w:val="Style1"/>
      </w:pPr>
      <w:r w:rsidRPr="00D03F93">
        <w:t xml:space="preserve">In </w:t>
      </w:r>
      <w:r w:rsidR="00900999" w:rsidRPr="00D03F93">
        <w:t xml:space="preserve">relation to the consideration of common ownership as a contributing factor to a SIEC, the APDC </w:t>
      </w:r>
      <w:r w:rsidR="00B35551" w:rsidRPr="00D03F93">
        <w:t xml:space="preserve">would like to mention that </w:t>
      </w:r>
      <w:r w:rsidR="00B35551" w:rsidRPr="00D03F93">
        <w:rPr>
          <w:rFonts w:asciiTheme="majorBidi" w:hAnsiTheme="majorBidi" w:cstheme="majorBidi"/>
          <w:szCs w:val="24"/>
        </w:rPr>
        <w:t>t</w:t>
      </w:r>
      <w:r w:rsidR="00BD1F65" w:rsidRPr="00D03F93">
        <w:rPr>
          <w:rFonts w:asciiTheme="majorBidi" w:hAnsiTheme="majorBidi" w:cstheme="majorBidi"/>
          <w:szCs w:val="24"/>
        </w:rPr>
        <w:t xml:space="preserve">he empirical evidence that common ownership reduces incentives to compete remains contested. The Commission has substantially addressed this issue in only two cases (Case M.7932 - Dow/DuPont and Case M.8084 - Bayer/Monsanto), neither of which was subject to an appeal to and a review by the Court of Justice. In both instances, common ownership did not form a standalone theory of harm, nor the basis for a SIEC finding or remedies, and in Bayer/Monsanto was explicitly characterised as </w:t>
      </w:r>
      <w:r w:rsidR="002D7F99">
        <w:rPr>
          <w:rFonts w:asciiTheme="majorBidi" w:hAnsiTheme="majorBidi" w:cstheme="majorBidi"/>
          <w:szCs w:val="24"/>
        </w:rPr>
        <w:t>“</w:t>
      </w:r>
      <w:r w:rsidR="00BD1F65" w:rsidRPr="00D03F93">
        <w:rPr>
          <w:rFonts w:asciiTheme="majorBidi" w:hAnsiTheme="majorBidi" w:cstheme="majorBidi"/>
          <w:i/>
          <w:iCs/>
          <w:szCs w:val="24"/>
        </w:rPr>
        <w:t>an element of context in the appreciation of any [SIEC]</w:t>
      </w:r>
      <w:r w:rsidR="002D7F99">
        <w:rPr>
          <w:rFonts w:asciiTheme="majorBidi" w:hAnsiTheme="majorBidi" w:cstheme="majorBidi"/>
          <w:szCs w:val="24"/>
        </w:rPr>
        <w:t>”</w:t>
      </w:r>
      <w:r w:rsidR="00BD1F65" w:rsidRPr="00D03F93">
        <w:rPr>
          <w:rFonts w:asciiTheme="majorBidi" w:hAnsiTheme="majorBidi" w:cstheme="majorBidi"/>
          <w:szCs w:val="24"/>
        </w:rPr>
        <w:t xml:space="preserve"> (para. 228). The APDC therefore cautions that the limited prior application of EU competition law to common ownership scenarios should not lead to the </w:t>
      </w:r>
      <w:r w:rsidR="005C1B49" w:rsidRPr="00D03F93">
        <w:t xml:space="preserve">Draft Guidelines </w:t>
      </w:r>
      <w:r w:rsidR="00BD1F65" w:rsidRPr="00D03F93">
        <w:rPr>
          <w:rFonts w:asciiTheme="majorBidi" w:hAnsiTheme="majorBidi" w:cstheme="majorBidi"/>
          <w:szCs w:val="24"/>
        </w:rPr>
        <w:t>cementing so far hypothetical aspects in the Commission</w:t>
      </w:r>
      <w:r w:rsidR="002D7F99">
        <w:rPr>
          <w:rFonts w:asciiTheme="majorBidi" w:hAnsiTheme="majorBidi" w:cstheme="majorBidi"/>
          <w:szCs w:val="24"/>
        </w:rPr>
        <w:t>’</w:t>
      </w:r>
      <w:r w:rsidR="00BD1F65" w:rsidRPr="00D03F93">
        <w:rPr>
          <w:rFonts w:asciiTheme="majorBidi" w:hAnsiTheme="majorBidi" w:cstheme="majorBidi"/>
          <w:szCs w:val="24"/>
        </w:rPr>
        <w:t>s framework, and the reliance on the limited past decisional practice should be appropriately nuanced.</w:t>
      </w:r>
    </w:p>
    <w:p w14:paraId="42D07835" w14:textId="5101D3B1" w:rsidR="00BD1F65" w:rsidRPr="00D03F93" w:rsidRDefault="00BD1F65" w:rsidP="000506D9">
      <w:pPr>
        <w:pStyle w:val="Style1"/>
      </w:pPr>
      <w:r w:rsidRPr="00D03F93">
        <w:lastRenderedPageBreak/>
        <w:t>Further guidance would be welcome on the following aspects:</w:t>
      </w:r>
    </w:p>
    <w:p w14:paraId="52A05229" w14:textId="23ACEAA9" w:rsidR="00BD1F65" w:rsidRPr="00D03F93" w:rsidRDefault="0076242A" w:rsidP="000506D9">
      <w:pPr>
        <w:pStyle w:val="Firm1L2"/>
      </w:pPr>
      <w:proofErr w:type="gramStart"/>
      <w:r w:rsidRPr="00D03F93">
        <w:t>how</w:t>
      </w:r>
      <w:proofErr w:type="gramEnd"/>
      <w:r w:rsidRPr="00D03F93">
        <w:t xml:space="preserve"> </w:t>
      </w:r>
      <w:r w:rsidR="00BD1F65" w:rsidRPr="00D03F93">
        <w:t>passive financial investment (e.g., through index funds) will be treated; or</w:t>
      </w:r>
    </w:p>
    <w:p w14:paraId="730D9F92" w14:textId="03BEFA34" w:rsidR="00216A0A" w:rsidRPr="00D03F93" w:rsidRDefault="00BD1F65" w:rsidP="000506D9">
      <w:pPr>
        <w:pStyle w:val="Firm1L2"/>
      </w:pPr>
      <w:r w:rsidRPr="00D03F93">
        <w:t>whether the analysis will be conducted at fund or fund manager level. The APDC considers this point to be a question with fundamental implications for the scope of the framework, given that major institutional investors routinely hold positions across competing companies through multiple individual funds.</w:t>
      </w:r>
    </w:p>
    <w:p w14:paraId="16065506" w14:textId="12A6AC87" w:rsidR="00391839" w:rsidRPr="00D03F93" w:rsidRDefault="00391839" w:rsidP="006340E6">
      <w:pPr>
        <w:pStyle w:val="Firm5L2"/>
      </w:pPr>
      <w:r w:rsidRPr="00D03F93">
        <w:t>Loss of investment and expansion competition</w:t>
      </w:r>
    </w:p>
    <w:p w14:paraId="1ACF276F" w14:textId="7872A9F8" w:rsidR="008B3411" w:rsidRPr="00D03F93" w:rsidRDefault="008B3411" w:rsidP="008B3411">
      <w:pPr>
        <w:pStyle w:val="Style1"/>
      </w:pPr>
      <w:r w:rsidRPr="00D03F93">
        <w:t xml:space="preserve">As a first remark, the scope of the </w:t>
      </w:r>
      <w:r w:rsidR="000517F5" w:rsidRPr="00D03F93">
        <w:t>t</w:t>
      </w:r>
      <w:r w:rsidRPr="00D03F93">
        <w:t xml:space="preserve">heory of </w:t>
      </w:r>
      <w:r w:rsidR="000517F5" w:rsidRPr="00D03F93">
        <w:t>h</w:t>
      </w:r>
      <w:r w:rsidRPr="00D03F93">
        <w:t xml:space="preserve">arm is uncertain. Unlike the </w:t>
      </w:r>
      <w:r w:rsidR="002D7F99">
        <w:t>“</w:t>
      </w:r>
      <w:r w:rsidRPr="00D03F93">
        <w:rPr>
          <w:i/>
          <w:iCs/>
        </w:rPr>
        <w:t>innovation shield</w:t>
      </w:r>
      <w:r w:rsidR="002D7F99">
        <w:t>”</w:t>
      </w:r>
      <w:r w:rsidRPr="00D03F93">
        <w:t xml:space="preserve"> (</w:t>
      </w:r>
      <w:r w:rsidR="005D1B1F" w:rsidRPr="00D03F93">
        <w:t>para.</w:t>
      </w:r>
      <w:r w:rsidRPr="00D03F93">
        <w:t xml:space="preserve"> 192</w:t>
      </w:r>
      <w:r w:rsidR="00A463BC" w:rsidRPr="00D03F93">
        <w:t xml:space="preserve"> of the Draft Guidelines</w:t>
      </w:r>
      <w:r w:rsidRPr="00D03F93">
        <w:t>), which offers a structured safe harbour with specified market share thresholds (25% or 40%) and a minimum of three competitors with comparable R&amp;D projects, the loss of investment and expansion competition does not have a comparable mechanism</w:t>
      </w:r>
      <w:r w:rsidR="00473D93" w:rsidRPr="00D03F93">
        <w:t xml:space="preserve"> (see further comments on this below)</w:t>
      </w:r>
      <w:r w:rsidRPr="00D03F93">
        <w:t>.</w:t>
      </w:r>
    </w:p>
    <w:p w14:paraId="18289F26" w14:textId="4C21FE02" w:rsidR="008B3411" w:rsidRPr="00D03F93" w:rsidRDefault="005D1B1F" w:rsidP="008B3411">
      <w:pPr>
        <w:pStyle w:val="Style1"/>
      </w:pPr>
      <w:r w:rsidRPr="00D03F93">
        <w:t>Para.</w:t>
      </w:r>
      <w:r w:rsidR="008B3411" w:rsidRPr="00D03F93">
        <w:t xml:space="preserve"> 171 </w:t>
      </w:r>
      <w:r w:rsidR="002A22E8" w:rsidRPr="00D03F93">
        <w:t xml:space="preserve">of the Draft Guidelines </w:t>
      </w:r>
      <w:r w:rsidR="008B3411" w:rsidRPr="00D03F93">
        <w:t xml:space="preserve">enumerates an open-ended list of factors (market power over existing assets, dynamic competitive potential, closeness of competition, remaining competitors, entry or expansion by rivals), without establishing a clear hierarchy or weighting. </w:t>
      </w:r>
      <w:r w:rsidR="00E908CE" w:rsidRPr="00D03F93">
        <w:t>Para.</w:t>
      </w:r>
      <w:r w:rsidR="008B3411" w:rsidRPr="00D03F93">
        <w:t xml:space="preserve"> 173 adds further criteria (magnitude of planned investments, deployment timelines, track record, access to key inputs). Because of this abundance of criteria that lack a clear hierarchy, the analysis to be run on this theory of harm is likely to lack sufficient guidance. Merging parties would need to benefit from clearer indications on the circumstances in which an investment-driven merger is likely to give rise to concerns.</w:t>
      </w:r>
    </w:p>
    <w:p w14:paraId="696E35C4" w14:textId="083DCC08" w:rsidR="008B3411" w:rsidRPr="00D03F93" w:rsidRDefault="008B3411" w:rsidP="008B3411">
      <w:pPr>
        <w:pStyle w:val="Style1"/>
      </w:pPr>
      <w:r w:rsidRPr="00D03F93">
        <w:t xml:space="preserve">Moreover, the </w:t>
      </w:r>
      <w:r w:rsidR="00E52627" w:rsidRPr="00D03F93">
        <w:t>t</w:t>
      </w:r>
      <w:r w:rsidRPr="00D03F93">
        <w:t xml:space="preserve">heory of </w:t>
      </w:r>
      <w:r w:rsidR="00E52627" w:rsidRPr="00D03F93">
        <w:t>h</w:t>
      </w:r>
      <w:r w:rsidRPr="00D03F93">
        <w:t xml:space="preserve">arm overlaps with other </w:t>
      </w:r>
      <w:r w:rsidR="00E52627" w:rsidRPr="00D03F93">
        <w:t>t</w:t>
      </w:r>
      <w:r w:rsidRPr="00D03F93">
        <w:t xml:space="preserve">heories of </w:t>
      </w:r>
      <w:r w:rsidR="00E52627" w:rsidRPr="00D03F93">
        <w:t>h</w:t>
      </w:r>
      <w:r w:rsidRPr="00D03F93">
        <w:t xml:space="preserve">arm. </w:t>
      </w:r>
    </w:p>
    <w:p w14:paraId="44118C8D" w14:textId="1C8DA4C7" w:rsidR="008B3411" w:rsidRPr="00D03F93" w:rsidRDefault="008B3411" w:rsidP="008B3411">
      <w:pPr>
        <w:pStyle w:val="Style1"/>
      </w:pPr>
      <w:r w:rsidRPr="00D03F93">
        <w:t>First, there appears to be a significant overlap with the analysis of innovation competition (</w:t>
      </w:r>
      <w:r w:rsidR="00550994" w:rsidRPr="00D03F93">
        <w:t>paras.</w:t>
      </w:r>
      <w:r w:rsidRPr="00D03F93">
        <w:t xml:space="preserve"> 175 to 191). Given the close link between investment and innovation, the two analytical frameworks may cover similar ground. The factors at </w:t>
      </w:r>
      <w:r w:rsidR="00550994" w:rsidRPr="00D03F93">
        <w:t>para.</w:t>
      </w:r>
      <w:r w:rsidRPr="00D03F93">
        <w:t xml:space="preserve"> 176 (dynamic competitive potential, degree of dynamic competitive interaction, remaining competitors) closely mirror those at </w:t>
      </w:r>
      <w:r w:rsidR="00550994" w:rsidRPr="00D03F93">
        <w:t>para.</w:t>
      </w:r>
      <w:r w:rsidRPr="00D03F93">
        <w:t xml:space="preserve"> 171.</w:t>
      </w:r>
    </w:p>
    <w:p w14:paraId="7049C9B9" w14:textId="36A90DE2" w:rsidR="008B3411" w:rsidRPr="00D03F93" w:rsidRDefault="008B3411" w:rsidP="008B3411">
      <w:pPr>
        <w:pStyle w:val="Style1"/>
      </w:pPr>
      <w:r w:rsidRPr="00D03F93">
        <w:t xml:space="preserve">Second, the loss of potential competition </w:t>
      </w:r>
      <w:r w:rsidR="00127A5B" w:rsidRPr="00D03F93">
        <w:t xml:space="preserve">developed in </w:t>
      </w:r>
      <w:r w:rsidR="00550994" w:rsidRPr="00D03F93">
        <w:t>paras.</w:t>
      </w:r>
      <w:r w:rsidRPr="00D03F93">
        <w:t xml:space="preserve"> 193 to 207 already captures scenarios where a merger eliminates a firm with the ability and incentive to expand, possessing </w:t>
      </w:r>
      <w:r w:rsidR="002D7F99">
        <w:t>“</w:t>
      </w:r>
      <w:r w:rsidRPr="00D03F93">
        <w:rPr>
          <w:i/>
          <w:iCs/>
        </w:rPr>
        <w:t>particular know-how or R&amp;D capabilities</w:t>
      </w:r>
      <w:r w:rsidR="002D7F99">
        <w:t>”</w:t>
      </w:r>
      <w:r w:rsidRPr="00D03F93">
        <w:t xml:space="preserve"> or </w:t>
      </w:r>
      <w:r w:rsidR="002D7F99">
        <w:t>“</w:t>
      </w:r>
      <w:r w:rsidRPr="00D03F93">
        <w:rPr>
          <w:i/>
          <w:iCs/>
        </w:rPr>
        <w:t>access to substantial financial resources</w:t>
      </w:r>
      <w:r w:rsidR="002D7F99">
        <w:t>”</w:t>
      </w:r>
      <w:r w:rsidR="002D49AF" w:rsidRPr="00D03F93">
        <w:t xml:space="preserve"> – </w:t>
      </w:r>
      <w:r w:rsidRPr="00D03F93">
        <w:t>precisely the investment-driven expansion scenarios this new theory targets.</w:t>
      </w:r>
    </w:p>
    <w:p w14:paraId="59CCA981" w14:textId="6BFDE67B" w:rsidR="008B3411" w:rsidRPr="00D03F93" w:rsidRDefault="008B3411" w:rsidP="008B3411">
      <w:pPr>
        <w:pStyle w:val="Style1"/>
      </w:pPr>
      <w:r w:rsidRPr="00D03F93">
        <w:t xml:space="preserve">Third, </w:t>
      </w:r>
      <w:r w:rsidR="00127A5B" w:rsidRPr="00D03F93">
        <w:t xml:space="preserve">in para. 239, </w:t>
      </w:r>
      <w:r w:rsidRPr="00D03F93">
        <w:t xml:space="preserve">dynamic foreclosure incentives already cover situations where </w:t>
      </w:r>
      <w:r w:rsidR="002D7F99">
        <w:t>“</w:t>
      </w:r>
      <w:r w:rsidRPr="00D03F93">
        <w:rPr>
          <w:i/>
          <w:iCs/>
        </w:rPr>
        <w:t>the merged entity may progressively undermine rivals</w:t>
      </w:r>
      <w:r w:rsidR="002D7F99">
        <w:rPr>
          <w:i/>
          <w:iCs/>
        </w:rPr>
        <w:t>’</w:t>
      </w:r>
      <w:r w:rsidRPr="00D03F93">
        <w:rPr>
          <w:i/>
          <w:iCs/>
        </w:rPr>
        <w:t xml:space="preserve"> ability to compete effectively, deter entry or expansion, or diminish rivals</w:t>
      </w:r>
      <w:r w:rsidR="002D7F99">
        <w:rPr>
          <w:i/>
          <w:iCs/>
        </w:rPr>
        <w:t>’</w:t>
      </w:r>
      <w:r w:rsidRPr="00D03F93">
        <w:rPr>
          <w:i/>
          <w:iCs/>
        </w:rPr>
        <w:t xml:space="preserve"> incentives to invest and innovate</w:t>
      </w:r>
      <w:r w:rsidR="002D7F99">
        <w:t>”</w:t>
      </w:r>
      <w:r w:rsidRPr="00D03F93">
        <w:t>.</w:t>
      </w:r>
    </w:p>
    <w:p w14:paraId="1B8F97E7" w14:textId="085DD1F9" w:rsidR="008B3411" w:rsidRPr="00D03F93" w:rsidRDefault="00550994" w:rsidP="008B3411">
      <w:pPr>
        <w:pStyle w:val="Style1"/>
      </w:pPr>
      <w:r w:rsidRPr="00D03F93">
        <w:t>Para.</w:t>
      </w:r>
      <w:r w:rsidR="008B3411" w:rsidRPr="00D03F93">
        <w:t xml:space="preserve"> 172 itself explicitly cross-references the sections on dynamic competitive potential and loss of head-to-head competition. Taken together with the overlaps identified above, this raises the question of whether this new theory of harm adds a distinct analytical dimension, or whether the existing frameworks could already adequately capture these scenarios with further guidance.</w:t>
      </w:r>
    </w:p>
    <w:p w14:paraId="6EC32AD1" w14:textId="2BE2C302" w:rsidR="008B3411" w:rsidRPr="00D03F93" w:rsidRDefault="008B3411" w:rsidP="008B3411">
      <w:pPr>
        <w:pStyle w:val="Style1"/>
      </w:pPr>
      <w:r w:rsidRPr="00D03F93">
        <w:lastRenderedPageBreak/>
        <w:t>In summary, two approaches could be considered to strengthen the framework.</w:t>
      </w:r>
    </w:p>
    <w:p w14:paraId="504E9314" w14:textId="77777777" w:rsidR="008B3411" w:rsidRPr="00D03F93" w:rsidRDefault="008B3411" w:rsidP="008B3411">
      <w:pPr>
        <w:pStyle w:val="Style1"/>
      </w:pPr>
      <w:r w:rsidRPr="00D03F93">
        <w:t>The first would be to integrate this theory of harm into the existing frameworks. The concerns it seeks to address could arguably be captured through the analysis of innovation competition, loss of potential competition, foreclosure and head-to-head competition as applied through dynamic competitive potential.</w:t>
      </w:r>
    </w:p>
    <w:p w14:paraId="0BF88EBD" w14:textId="28B5D51A" w:rsidR="00391839" w:rsidRPr="00D03F93" w:rsidRDefault="008B3411" w:rsidP="0037427F">
      <w:pPr>
        <w:pStyle w:val="Style1"/>
      </w:pPr>
      <w:r w:rsidRPr="00D03F93">
        <w:t>The second would be to provide clearer criteria to guide the analysis. By analogy with the innovation shield, this could include explicit market share or concentration thresholds below which investment-driven mergers would benefit from a presumption of compatibility, a requirement to identify specific investment projects that the merger would demonstrably affect, and a clarification of the relationship with adjacent theories to ensure this framework is only relied upon where the concern cannot be adequately addressed under an existing, more established theory of harm.</w:t>
      </w:r>
      <w:r w:rsidRPr="00D03F93" w:rsidDel="008B3411">
        <w:t xml:space="preserve"> </w:t>
      </w:r>
    </w:p>
    <w:p w14:paraId="19A77B1D" w14:textId="02970B1C" w:rsidR="00391839" w:rsidRPr="00D03F93" w:rsidRDefault="00391839" w:rsidP="006340E6">
      <w:pPr>
        <w:pStyle w:val="Firm5L2"/>
      </w:pPr>
      <w:r w:rsidRPr="00D03F93">
        <w:t>Loss of innovation competition</w:t>
      </w:r>
    </w:p>
    <w:p w14:paraId="5B53BFFA" w14:textId="1F082C02" w:rsidR="000E4B45" w:rsidRPr="00D03F93" w:rsidRDefault="000E4B45" w:rsidP="00720632">
      <w:pPr>
        <w:pStyle w:val="Sch1L8"/>
        <w:ind w:firstLine="720"/>
      </w:pPr>
      <w:r w:rsidRPr="00D03F93">
        <w:t>Positive and negative effects on innovation</w:t>
      </w:r>
    </w:p>
    <w:p w14:paraId="605AD45A" w14:textId="77777777" w:rsidR="00AB4BF2" w:rsidRPr="00D03F93" w:rsidRDefault="00AB4BF2" w:rsidP="00AB4BF2">
      <w:pPr>
        <w:pStyle w:val="Firm1L1"/>
        <w:rPr>
          <w:kern w:val="2"/>
          <w:szCs w:val="22"/>
          <w:lang w:eastAsia="zh-CN"/>
          <w14:ligatures w14:val="standardContextual"/>
        </w:rPr>
      </w:pPr>
      <w:r w:rsidRPr="00D03F93">
        <w:t>As a preliminary remark, the APDC notes that the Draft Guidelines largely codify existing decisional practice on innovation. The innovation section, though a positive step, is spread across multiple parts of the Draft Guidelines, making it difficult for firms to navigate without cross-referencing numerous provisions. The APDC recommends adding a self-contained introductory paragraph setting out the key principles and signposting the relevant sections, beyond mere footnote references.</w:t>
      </w:r>
    </w:p>
    <w:p w14:paraId="1BA72A36" w14:textId="73F9261B" w:rsidR="008313A8" w:rsidRPr="00D03F93" w:rsidRDefault="008313A8" w:rsidP="008313A8">
      <w:pPr>
        <w:pStyle w:val="Style1"/>
      </w:pPr>
      <w:r w:rsidRPr="00D03F93">
        <w:t>The APDC welcomes the Commission</w:t>
      </w:r>
      <w:r w:rsidR="002D7F99">
        <w:t>’</w:t>
      </w:r>
      <w:r w:rsidRPr="00D03F93">
        <w:t>s stated intention to appraise a merger</w:t>
      </w:r>
      <w:r w:rsidR="002D7F99">
        <w:t>’</w:t>
      </w:r>
      <w:r w:rsidRPr="00D03F93">
        <w:t>s positive and negative effects on innovation within a single, holistic assessment, and the recognition that demonstrated efficiencies will play a key role going forward (</w:t>
      </w:r>
      <w:r w:rsidR="005C1D65" w:rsidRPr="00D03F93">
        <w:t>paras.</w:t>
      </w:r>
      <w:r w:rsidRPr="00D03F93">
        <w:t xml:space="preserve"> 32, 36 and 291). Dynamic competitive potential and dynamic efficiencies are, in substance, complementary aspects of the same competitive dynamic: the positive innovation effects of a transaction, including spillovers, should form part of the main competitive assessment rather than being relegated to a defensive stage. However, the Draft Guidelines articulate the two halves of the assessment</w:t>
      </w:r>
      <w:r w:rsidR="006B6564" w:rsidRPr="00D03F93">
        <w:t xml:space="preserve"> – </w:t>
      </w:r>
      <w:r w:rsidRPr="00D03F93">
        <w:t>the loss of innovation competition (</w:t>
      </w:r>
      <w:r w:rsidR="00796904" w:rsidRPr="00D03F93">
        <w:t>paras.</w:t>
      </w:r>
      <w:r w:rsidRPr="00D03F93">
        <w:t xml:space="preserve"> 175 to 176) on the one hand, and the pro-competitive innovation effects on the other</w:t>
      </w:r>
      <w:r w:rsidR="006B6564" w:rsidRPr="00D03F93">
        <w:t xml:space="preserve"> – </w:t>
      </w:r>
      <w:r w:rsidRPr="00D03F93">
        <w:t>without explaining how the Commission will weigh one against the other. The APDC invites the Commission to address the following.</w:t>
      </w:r>
    </w:p>
    <w:p w14:paraId="770B284A" w14:textId="3837DE22" w:rsidR="008313A8" w:rsidRPr="00D03F93" w:rsidRDefault="008313A8" w:rsidP="008313A8">
      <w:pPr>
        <w:pStyle w:val="Style1"/>
      </w:pPr>
      <w:r w:rsidRPr="00D03F93">
        <w:t xml:space="preserve">First, the Final Guidelines should identify, on the benefit side of the assessment, the pro-competitive innovation effects the Commission will </w:t>
      </w:r>
      <w:r w:rsidR="00C2465F" w:rsidRPr="00D03F93">
        <w:t>weigh and</w:t>
      </w:r>
      <w:r w:rsidRPr="00D03F93">
        <w:t xml:space="preserve"> should appraise them with the same rigor it applies to harm. These include the consolidation of overlapping R&amp;D into the most productive units (which may raise the probability of invention even where R&amp;D exhibits decreasing returns); knowledge spillovers; the pooling of patent portfolios and the combination of R&amp;D talent; scale and scope effects; the easing of financing constraints on R&amp;D-intensive targets; and higher margins that fund the returns to, and the cost of unsuccessful, R&amp;D. The Commission</w:t>
      </w:r>
      <w:r w:rsidR="002D7F99">
        <w:t>’</w:t>
      </w:r>
      <w:r w:rsidRPr="00D03F93">
        <w:t xml:space="preserve">s own practice shows that consolidation can increase innovation output. For instance, in </w:t>
      </w:r>
      <w:proofErr w:type="spellStart"/>
      <w:r w:rsidRPr="00D03F93">
        <w:t>Axalto</w:t>
      </w:r>
      <w:proofErr w:type="spellEnd"/>
      <w:r w:rsidRPr="00D03F93">
        <w:t xml:space="preserve">/Gemplus (M.3998), the Commission accepted that the parties would have a strong incentive to innovate post-merger and that the number of R&amp;D projects was </w:t>
      </w:r>
      <w:r w:rsidRPr="00D03F93">
        <w:lastRenderedPageBreak/>
        <w:t>likely to exceed the pre-merger total. Where the Commission benchmarks R&amp;D capabilities against those of competitors, as in Chr. Hansen/Novozymes (M.11043), the same benchmarking should inform the positive side of the balance.</w:t>
      </w:r>
    </w:p>
    <w:p w14:paraId="02159473" w14:textId="7801E497" w:rsidR="008313A8" w:rsidRPr="00D03F93" w:rsidRDefault="008313A8" w:rsidP="008313A8">
      <w:pPr>
        <w:pStyle w:val="Style1"/>
      </w:pPr>
      <w:r w:rsidRPr="00D03F93">
        <w:t xml:space="preserve">Second, the standard and burden of proof should be symmetric as between harm and benefit. </w:t>
      </w:r>
      <w:r w:rsidR="00441386" w:rsidRPr="00D03F93">
        <w:t>In para. 32, t</w:t>
      </w:r>
      <w:r w:rsidRPr="00D03F93">
        <w:t xml:space="preserve">he Draft Guidelines currently rely on a single </w:t>
      </w:r>
      <w:r w:rsidR="002D7F99">
        <w:t>“</w:t>
      </w:r>
      <w:r w:rsidRPr="00D03F93">
        <w:t>more likely than not</w:t>
      </w:r>
      <w:r w:rsidR="002D7F99">
        <w:t>”</w:t>
      </w:r>
      <w:r w:rsidRPr="00D03F93">
        <w:t xml:space="preserve"> standard irrespective of the theory at stake. Yet</w:t>
      </w:r>
      <w:r w:rsidR="003D5F0E" w:rsidRPr="00D03F93">
        <w:t>,</w:t>
      </w:r>
      <w:r w:rsidRPr="00D03F93">
        <w:t xml:space="preserve"> the substantive provisions are not symmetric. A loss of innovation competition may be established on a process rationale, without identifying a specific product or R&amp;D project that would be abandoned or delayed and even at the level of overlapping R&amp;D organi</w:t>
      </w:r>
      <w:r w:rsidR="0020424E">
        <w:t>s</w:t>
      </w:r>
      <w:r w:rsidRPr="00D03F93">
        <w:t>ations (</w:t>
      </w:r>
      <w:r w:rsidR="00691675" w:rsidRPr="00D03F93">
        <w:t>para.</w:t>
      </w:r>
      <w:r w:rsidRPr="00D03F93">
        <w:t xml:space="preserve"> 175), without specifically demonstrating or quantifying the resulting consumer harm (</w:t>
      </w:r>
      <w:r w:rsidR="00691675" w:rsidRPr="00D03F93">
        <w:t>para.</w:t>
      </w:r>
      <w:r w:rsidRPr="00D03F93">
        <w:t xml:space="preserve"> 22), and potentially on a single item of documentary evidence of undoubted probative value (</w:t>
      </w:r>
      <w:r w:rsidR="00691675" w:rsidRPr="00D03F93">
        <w:t>para.</w:t>
      </w:r>
      <w:r w:rsidRPr="00D03F93">
        <w:t xml:space="preserve"> 31).</w:t>
      </w:r>
    </w:p>
    <w:p w14:paraId="10ECB31B" w14:textId="796F0C5F" w:rsidR="008313A8" w:rsidRPr="00D03F93" w:rsidRDefault="008313A8" w:rsidP="008313A8">
      <w:pPr>
        <w:pStyle w:val="Style1"/>
      </w:pPr>
      <w:r w:rsidRPr="00D03F93">
        <w:t xml:space="preserve">The offsetting innovation benefit, by contrast, must satisfy cumulative verifiability, merger-specificity and consumer-benefit conditions, be substantiated through </w:t>
      </w:r>
      <w:r w:rsidR="002D7F99">
        <w:t>“</w:t>
      </w:r>
      <w:r w:rsidRPr="00D03F93">
        <w:rPr>
          <w:i/>
          <w:iCs/>
        </w:rPr>
        <w:t>precise, concrete and consistent</w:t>
      </w:r>
      <w:r w:rsidR="002D7F99">
        <w:t>”</w:t>
      </w:r>
      <w:r w:rsidRPr="00D03F93">
        <w:t xml:space="preserve"> evidence (</w:t>
      </w:r>
      <w:r w:rsidR="005C1D65" w:rsidRPr="00D03F93">
        <w:t>para.</w:t>
      </w:r>
      <w:r w:rsidRPr="00D03F93">
        <w:t xml:space="preserve"> 330), be other than temporary, and be quantified so far as possible (</w:t>
      </w:r>
      <w:r w:rsidR="00B91C4E" w:rsidRPr="00D03F93">
        <w:t>paras.</w:t>
      </w:r>
      <w:r w:rsidRPr="00D03F93">
        <w:t xml:space="preserve"> 294 and 327). The balancing rule reinforces the imbalance. The more certain and immediate the harm, the more substantial and certain the efficiencies must be (</w:t>
      </w:r>
      <w:r w:rsidR="005C1D65" w:rsidRPr="00D03F93">
        <w:t>para.</w:t>
      </w:r>
      <w:r w:rsidRPr="00D03F93">
        <w:t xml:space="preserve"> 35), with no converse discipline where the alleged harm is itself speculative or remote.</w:t>
      </w:r>
    </w:p>
    <w:p w14:paraId="639FD68B" w14:textId="77777777" w:rsidR="008313A8" w:rsidRPr="00D03F93" w:rsidRDefault="008313A8" w:rsidP="008313A8">
      <w:pPr>
        <w:pStyle w:val="Style1"/>
      </w:pPr>
      <w:r w:rsidRPr="00D03F93">
        <w:t>The counterfactual is equally asymmetric. Harm is assessed against the most likely scenario absent the merger, whereas efficiencies are tested against a more restrictive, hypothetical baseline, which the case law does not support (see, e.g., CK Telecoms). Where, moreover, the Commission assesses harm by reference to pipelines or innovation spaces situated several years in the future, symmetry requires that efficiency claims be appraised over a comparable horizon. The APDC invites the Commission to align the standard of proof, the evidentiary threshold and the counterfactual for harm and benefit, consistent with the cogent and consistent body of evidence required of it by the Courts (Kali &amp; Salz; Tetra Laval).</w:t>
      </w:r>
    </w:p>
    <w:p w14:paraId="05F68B22" w14:textId="2CBC03FB" w:rsidR="008313A8" w:rsidRPr="00D03F93" w:rsidRDefault="008313A8" w:rsidP="008313A8">
      <w:pPr>
        <w:pStyle w:val="Style1"/>
      </w:pPr>
      <w:r w:rsidRPr="00D03F93">
        <w:t>Third, the theory of harm itself requires limiting principles. There should be no presumption of harm for mergers between innovative firms in concentrated sectors, and the assessment should not rest on capability narratives</w:t>
      </w:r>
      <w:r w:rsidR="00B54549" w:rsidRPr="00D03F93">
        <w:t xml:space="preserve"> – </w:t>
      </w:r>
      <w:r w:rsidRPr="00D03F93">
        <w:t>ecosystems, data advantages, or R&amp;D scale</w:t>
      </w:r>
      <w:r w:rsidR="004001EE" w:rsidRPr="00D03F93">
        <w:t xml:space="preserve"> – </w:t>
      </w:r>
      <w:r w:rsidRPr="00D03F93">
        <w:t xml:space="preserve">alone. The evidentiary discipline developed in Dow/DuPont (M.7932) and Bayer/Monsanto (M.8084), including the focus on identifiable, late-stage overlapping R&amp;D, should be expressly preserved, and the distinction between </w:t>
      </w:r>
      <w:r w:rsidR="002D7F99">
        <w:t>“</w:t>
      </w:r>
      <w:r w:rsidRPr="00D03F93">
        <w:rPr>
          <w:i/>
          <w:iCs/>
        </w:rPr>
        <w:t>specific</w:t>
      </w:r>
      <w:r w:rsidR="002D7F99">
        <w:t>”</w:t>
      </w:r>
      <w:r w:rsidRPr="00D03F93">
        <w:t xml:space="preserve"> and </w:t>
      </w:r>
      <w:r w:rsidR="002D7F99">
        <w:t>“</w:t>
      </w:r>
      <w:r w:rsidRPr="00D03F93">
        <w:rPr>
          <w:i/>
          <w:iCs/>
        </w:rPr>
        <w:t>general</w:t>
      </w:r>
      <w:r w:rsidR="002D7F99">
        <w:t>”</w:t>
      </w:r>
      <w:r w:rsidRPr="00D03F93">
        <w:t xml:space="preserve"> innovation competition, and the conditions applicable to each, clarified.</w:t>
      </w:r>
    </w:p>
    <w:p w14:paraId="5E445BC2" w14:textId="58966263" w:rsidR="008313A8" w:rsidRPr="00D03F93" w:rsidRDefault="008313A8" w:rsidP="008313A8">
      <w:pPr>
        <w:pStyle w:val="Style1"/>
      </w:pPr>
      <w:r w:rsidRPr="00D03F93">
        <w:t xml:space="preserve">Fourth, the rebuttal built into </w:t>
      </w:r>
      <w:r w:rsidR="00334D94" w:rsidRPr="00D03F93">
        <w:t>para.</w:t>
      </w:r>
      <w:r w:rsidRPr="00D03F93">
        <w:t xml:space="preserve"> 175 is not operational. That paragraph allows the parties to show that the merged entity would use the resources liberated by reducing overlapping R&amp;D workstreams to pursue </w:t>
      </w:r>
      <w:r w:rsidR="002D7F99">
        <w:t>“</w:t>
      </w:r>
      <w:r w:rsidRPr="00D03F93">
        <w:rPr>
          <w:i/>
          <w:iCs/>
        </w:rPr>
        <w:t>other promising innovation paths of relevance to the market or customer groups in question</w:t>
      </w:r>
      <w:r w:rsidR="002D7F99">
        <w:t>”</w:t>
      </w:r>
      <w:r w:rsidRPr="00D03F93">
        <w:t xml:space="preserve"> (cross-referring to Section 4.2). It is unclear whether the redeployed innovation must remain within the same relevant market or innovation space, or whether reallocation across markets qualifies; what a </w:t>
      </w:r>
      <w:r w:rsidR="002D7F99">
        <w:t>“</w:t>
      </w:r>
      <w:r w:rsidRPr="00D03F93">
        <w:rPr>
          <w:i/>
          <w:iCs/>
        </w:rPr>
        <w:t>customer group</w:t>
      </w:r>
      <w:r w:rsidR="002D7F99">
        <w:t>”</w:t>
      </w:r>
      <w:r w:rsidRPr="00D03F93">
        <w:t xml:space="preserve"> means for this purpose; and what evidence will discharge the </w:t>
      </w:r>
      <w:r w:rsidRPr="00D03F93">
        <w:lastRenderedPageBreak/>
        <w:t>burden (internal R&amp;D plans, pipeline documentation, budgets). The defen</w:t>
      </w:r>
      <w:r w:rsidR="0020424E">
        <w:t>c</w:t>
      </w:r>
      <w:r w:rsidRPr="00D03F93">
        <w:t xml:space="preserve">e is, moreover, in tension with the taxonomy of dynamic efficiencies: </w:t>
      </w:r>
      <w:r w:rsidR="003C4D61" w:rsidRPr="00D03F93">
        <w:t>para.</w:t>
      </w:r>
      <w:r w:rsidRPr="00D03F93">
        <w:t xml:space="preserve"> 325(h) treats the reallocation of scarce R&amp;D resources as credible only where the merged entity maintains parallel lines of research, and the accompanying footnote, citing Dow/DuPont (M.7932), presumes that the elimination of parallel research lines reduces the probability of successful innovation. The APDC therefore invites the Commission to define its scope and the evidence that will satisfy it, and to reconcile it with </w:t>
      </w:r>
      <w:r w:rsidR="003C4D61" w:rsidRPr="00D03F93">
        <w:t>para.</w:t>
      </w:r>
      <w:r w:rsidRPr="00D03F93">
        <w:t xml:space="preserve"> 325(h).</w:t>
      </w:r>
    </w:p>
    <w:p w14:paraId="7F811B75" w14:textId="422B5ACF" w:rsidR="008313A8" w:rsidRPr="00D03F93" w:rsidRDefault="008313A8" w:rsidP="008313A8">
      <w:pPr>
        <w:pStyle w:val="Style1"/>
      </w:pPr>
      <w:r w:rsidRPr="00D03F93">
        <w:t xml:space="preserve">Fifth, the Draft Guidelines provide no methodology for the balancing itself. Beyond the margin of </w:t>
      </w:r>
      <w:proofErr w:type="gramStart"/>
      <w:r w:rsidRPr="00D03F93">
        <w:t>discretion</w:t>
      </w:r>
      <w:proofErr w:type="gramEnd"/>
      <w:r w:rsidRPr="00D03F93">
        <w:t xml:space="preserve"> the Commission enjoys in weighing the parameters of competition in the balancing exercise (</w:t>
      </w:r>
      <w:r w:rsidR="005C1D65" w:rsidRPr="00D03F93">
        <w:t>para.</w:t>
      </w:r>
      <w:r w:rsidRPr="00D03F93">
        <w:t xml:space="preserve"> 20), there is no indication of what evidence tips the balance, how innovation harm and innovation benefit are netted, or what the parties must show to prevail; in practice, the outcome turns on discretion. As, to the APDC</w:t>
      </w:r>
      <w:r w:rsidR="002D7F99">
        <w:t>’</w:t>
      </w:r>
      <w:r w:rsidRPr="00D03F93">
        <w:t>s knowledge, no dynamic or innovation efficiency has yet been found to offset an innovation theory of harm</w:t>
      </w:r>
      <w:r w:rsidR="008512A4" w:rsidRPr="00D03F93">
        <w:t xml:space="preserve"> – </w:t>
      </w:r>
      <w:r w:rsidRPr="00D03F93">
        <w:t>efficiencies having never, to date, been outcome-determinative in the Commission</w:t>
      </w:r>
      <w:r w:rsidR="002D7F99">
        <w:t>’</w:t>
      </w:r>
      <w:r w:rsidRPr="00D03F93">
        <w:t>s practice</w:t>
      </w:r>
      <w:r w:rsidR="008512A4" w:rsidRPr="00D03F93">
        <w:t xml:space="preserve"> – </w:t>
      </w:r>
      <w:r w:rsidRPr="00D03F93">
        <w:t xml:space="preserve">this gap is a genuine concern for predictability and sits uneasily with the legal-certainty objective the </w:t>
      </w:r>
      <w:r w:rsidR="00EB6103" w:rsidRPr="00D03F93">
        <w:t xml:space="preserve">Final </w:t>
      </w:r>
      <w:r w:rsidRPr="00D03F93">
        <w:t>Guidelines are intended to serve.</w:t>
      </w:r>
    </w:p>
    <w:p w14:paraId="17074C9F" w14:textId="71A26E26" w:rsidR="008313A8" w:rsidRPr="00D03F93" w:rsidRDefault="008313A8" w:rsidP="008313A8">
      <w:pPr>
        <w:pStyle w:val="Style1"/>
      </w:pPr>
      <w:r w:rsidRPr="00D03F93">
        <w:t xml:space="preserve">Sixth, the holistic appraisal the Draft Guidelines announce is not yet reflected in the procedural framework. </w:t>
      </w:r>
      <w:r w:rsidR="00007862" w:rsidRPr="00D03F93">
        <w:t>Para.</w:t>
      </w:r>
      <w:r w:rsidRPr="00D03F93">
        <w:t xml:space="preserve"> 36 states that a preliminary finding of harm is not a precondition for benefits to be </w:t>
      </w:r>
      <w:proofErr w:type="gramStart"/>
      <w:r w:rsidRPr="00D03F93">
        <w:t>considered, and</w:t>
      </w:r>
      <w:proofErr w:type="gramEnd"/>
      <w:r w:rsidRPr="00D03F93">
        <w:t xml:space="preserve"> welcomes the parties advancing their case at an early stage. The Form CO, however, continues to treat efficiencies as a discrete section to be completed after the competitive analysis, perpetuating the existing disincentive for parties to articulate pro-competitive innovation effects before any harm has been identified. Unless the notification framework is aligned with </w:t>
      </w:r>
      <w:r w:rsidR="007337CD" w:rsidRPr="00D03F93">
        <w:t>para.</w:t>
      </w:r>
      <w:r w:rsidRPr="00D03F93">
        <w:t xml:space="preserve"> 36, the invitation to put the positive case forward at the outset will remain theoretical.</w:t>
      </w:r>
    </w:p>
    <w:p w14:paraId="60DD6394" w14:textId="28893052" w:rsidR="000E4B45" w:rsidRPr="00D03F93" w:rsidRDefault="008313A8" w:rsidP="000506D9">
      <w:pPr>
        <w:pStyle w:val="Style1"/>
      </w:pPr>
      <w:r w:rsidRPr="00D03F93">
        <w:t xml:space="preserve">In summary, the APDC recommends that the Final Guidelines (i) identify, and appraise with equal rigor, the pro-competitive innovation effects to be weighed on the benefit side; (ii) align the standard of proof, the evidentiary threshold and the counterfactual as between innovation harm and innovation benefit, over a symmetric time horizon; (iii) preserve the Dow/DuPont and Bayer/Monsanto discipline and provide limiting principles for the theory of harm; (iv) define the scope of, and the evidence required for, the </w:t>
      </w:r>
      <w:r w:rsidR="007337CD" w:rsidRPr="00D03F93">
        <w:t>para.</w:t>
      </w:r>
      <w:r w:rsidRPr="00D03F93">
        <w:t xml:space="preserve"> 175 redeployment </w:t>
      </w:r>
      <w:proofErr w:type="gramStart"/>
      <w:r w:rsidRPr="00D03F93">
        <w:t>rebuttal, and</w:t>
      </w:r>
      <w:proofErr w:type="gramEnd"/>
      <w:r w:rsidRPr="00D03F93">
        <w:t xml:space="preserve"> reconcile it with </w:t>
      </w:r>
      <w:r w:rsidR="005C1D65" w:rsidRPr="00D03F93">
        <w:t>para.</w:t>
      </w:r>
      <w:r w:rsidRPr="00D03F93">
        <w:t xml:space="preserve"> 325(h); (v) set out, with worked examples, how the negative and positive innovation effects will be netted within a single assessment; and (vi) align the Form CO with the holistic appraisal contemplated by </w:t>
      </w:r>
      <w:r w:rsidR="007337CD" w:rsidRPr="00D03F93">
        <w:t>para.</w:t>
      </w:r>
      <w:r w:rsidRPr="00D03F93">
        <w:t xml:space="preserve"> 36.</w:t>
      </w:r>
    </w:p>
    <w:p w14:paraId="2DC0AC0C" w14:textId="5AFBBDAF" w:rsidR="00391839" w:rsidRPr="00D03F93" w:rsidRDefault="00391839" w:rsidP="006340E6">
      <w:pPr>
        <w:pStyle w:val="Sch1L8"/>
        <w:keepNext/>
        <w:ind w:firstLine="720"/>
      </w:pPr>
      <w:r w:rsidRPr="00D03F93">
        <w:t>Innovation shield</w:t>
      </w:r>
    </w:p>
    <w:p w14:paraId="71FDA21C" w14:textId="1AD5C450" w:rsidR="00AB4BF2" w:rsidRPr="00D03F93" w:rsidRDefault="00AB4BF2" w:rsidP="00AB4BF2">
      <w:pPr>
        <w:pStyle w:val="Firm1L1"/>
        <w:rPr>
          <w:kern w:val="2"/>
          <w:szCs w:val="22"/>
          <w:lang w:eastAsia="zh-CN"/>
          <w14:ligatures w14:val="standardContextual"/>
        </w:rPr>
      </w:pPr>
      <w:r w:rsidRPr="00D03F93">
        <w:t xml:space="preserve">The APDC welcomes the introduction, in the Draft Guidelines, of an </w:t>
      </w:r>
      <w:r w:rsidR="002D7F99">
        <w:t>“</w:t>
      </w:r>
      <w:r w:rsidRPr="00D03F93">
        <w:rPr>
          <w:i/>
          <w:iCs/>
        </w:rPr>
        <w:t>innovation shield</w:t>
      </w:r>
      <w:r w:rsidR="002D7F99">
        <w:t>”</w:t>
      </w:r>
      <w:r w:rsidRPr="00D03F93">
        <w:t xml:space="preserve">, designed as a safe harbour, under certain conditions, for acquisitions of small innovators and start-ups. However, the practical operation of this innovation shield remains unclear, both regarding its practical relevance, in a context where a significant number of acquisitions of small innovators currently escape </w:t>
      </w:r>
      <w:r w:rsidR="00852A13" w:rsidRPr="00D03F93">
        <w:t xml:space="preserve">EU </w:t>
      </w:r>
      <w:r w:rsidRPr="00D03F93">
        <w:t>merger control, and the conditions of its implementation.</w:t>
      </w:r>
    </w:p>
    <w:p w14:paraId="4ADFAEDE" w14:textId="15D8F3C0" w:rsidR="00AB4BF2" w:rsidRPr="00D03F93" w:rsidRDefault="00AB4BF2" w:rsidP="00AB4BF2">
      <w:pPr>
        <w:pStyle w:val="Firm1L1"/>
        <w:rPr>
          <w:kern w:val="2"/>
          <w:szCs w:val="22"/>
          <w:lang w:eastAsia="zh-CN"/>
          <w14:ligatures w14:val="standardContextual"/>
        </w:rPr>
      </w:pPr>
      <w:r w:rsidRPr="00D03F93">
        <w:lastRenderedPageBreak/>
        <w:t>First, the innovation shield targets the acquisition of small innovative companies or start-ups that often have little or no turnover, which were precisely those pointed out by the Commission, back in 2020, to justify its attempt to use Article 22 to capture below-threshold mergers. As such concentrations fall outside the Commission</w:t>
      </w:r>
      <w:r w:rsidR="002D7F99">
        <w:t>’</w:t>
      </w:r>
      <w:r w:rsidRPr="00D03F93">
        <w:t>s jurisdiction, this raises the question of the number of transactions that will effectively be concerned by the innovation shield. The scope of application is arguably narrow, which considerably reduces the expected impact of the safe harbour. The APDC would therefore welcome a clarification as to the type of situation in which the innovation shield could effectively apply and whether its introduction in the Draft Guidelines should be understood as signalling the cases in which the Commission will refrain from inviting Member States that have jurisdiction under their national laws to review a transaction to consider a referral under Article 22 of the EUMR. In addition, the Commission should make it clear that transactions falling outside the scope of the innovation shield will not be presumed to negatively impact innovation.</w:t>
      </w:r>
    </w:p>
    <w:p w14:paraId="53951C94" w14:textId="75BE21BA" w:rsidR="00391839" w:rsidRPr="00D03F93" w:rsidRDefault="003D5C3A" w:rsidP="0037427F">
      <w:pPr>
        <w:pStyle w:val="Style1"/>
      </w:pPr>
      <w:r w:rsidRPr="00D03F93">
        <w:t xml:space="preserve">Second, the conditions set out in the Draft Guidelines to benefit from the innovation shield call for the following observations: </w:t>
      </w:r>
    </w:p>
    <w:p w14:paraId="73E0FEEA" w14:textId="42253145" w:rsidR="00AB4BF2" w:rsidRPr="00D03F93" w:rsidRDefault="00AB4BF2" w:rsidP="00AB4BF2">
      <w:pPr>
        <w:pStyle w:val="Firm1L2"/>
        <w:rPr>
          <w:kern w:val="2"/>
          <w:szCs w:val="22"/>
          <w:lang w:eastAsia="zh-CN"/>
          <w14:ligatures w14:val="standardContextual"/>
        </w:rPr>
      </w:pPr>
      <w:r w:rsidRPr="00D03F93">
        <w:t xml:space="preserve">The Draft Guidelines fail to define the core concept, i.e. </w:t>
      </w:r>
      <w:r w:rsidR="002D7F99">
        <w:t>“</w:t>
      </w:r>
      <w:r w:rsidRPr="00D03F93">
        <w:rPr>
          <w:i/>
          <w:iCs/>
        </w:rPr>
        <w:t>small innovative company</w:t>
      </w:r>
      <w:r w:rsidR="002D7F99">
        <w:t>”</w:t>
      </w:r>
      <w:r w:rsidRPr="00D03F93">
        <w:t xml:space="preserve">. Footnote 271 even acknowledges that the exact definition </w:t>
      </w:r>
      <w:r w:rsidR="002D7F99">
        <w:t>“</w:t>
      </w:r>
      <w:r w:rsidRPr="00D03F93">
        <w:rPr>
          <w:i/>
          <w:iCs/>
        </w:rPr>
        <w:t>may vary and depends on the characteristics of the relevant industry</w:t>
      </w:r>
      <w:r w:rsidR="002D7F99">
        <w:t>”</w:t>
      </w:r>
      <w:r w:rsidRPr="00D03F93">
        <w:t>. A safe harbour without a precisely defined perimeter defeats its own purpose, as the Commission retains full discretion to determine its application case by case, which undermines predictability of the mechanism and legal certainty for companies.</w:t>
      </w:r>
    </w:p>
    <w:p w14:paraId="273610B4" w14:textId="27EB282D" w:rsidR="00BD2A50" w:rsidRPr="00D03F93" w:rsidRDefault="00C33CCD" w:rsidP="000506D9">
      <w:pPr>
        <w:pStyle w:val="Firm1L2"/>
      </w:pPr>
      <w:r w:rsidRPr="00D03F93">
        <w:t xml:space="preserve">Scenarios (b) and (c) require that at least three other companies have independent R&amp;D projects with </w:t>
      </w:r>
      <w:r w:rsidR="002D7F99">
        <w:t>“</w:t>
      </w:r>
      <w:r w:rsidRPr="00D03F93">
        <w:rPr>
          <w:i/>
          <w:iCs/>
        </w:rPr>
        <w:t>competitive potential similar to those of the merged entity</w:t>
      </w:r>
      <w:r w:rsidR="002D7F99">
        <w:t>”</w:t>
      </w:r>
      <w:r w:rsidRPr="00D03F93">
        <w:t xml:space="preserve">. First, the notion of </w:t>
      </w:r>
      <w:r w:rsidR="002D7F99">
        <w:t>“</w:t>
      </w:r>
      <w:r w:rsidRPr="00D03F93">
        <w:rPr>
          <w:i/>
          <w:iCs/>
        </w:rPr>
        <w:t>similar competitive potential</w:t>
      </w:r>
      <w:r w:rsidR="002D7F99">
        <w:t>”</w:t>
      </w:r>
      <w:r w:rsidRPr="00D03F93">
        <w:t xml:space="preserve"> is vague and, here again, leaves a great margin of discretion to the Commission.</w:t>
      </w:r>
      <w:r w:rsidR="00984EAB" w:rsidRPr="00D03F93">
        <w:t xml:space="preserve"> Second, </w:t>
      </w:r>
      <w:r w:rsidR="00AD3CC3" w:rsidRPr="00D03F93">
        <w:t>while companies can have some knowledge of R&amp;D projects in certain sector</w:t>
      </w:r>
      <w:r w:rsidR="009A0F01" w:rsidRPr="00D03F93">
        <w:t>s</w:t>
      </w:r>
      <w:r w:rsidR="00AD3CC3" w:rsidRPr="00D03F93">
        <w:t xml:space="preserve">, it </w:t>
      </w:r>
      <w:r w:rsidR="009A0F01" w:rsidRPr="00D03F93">
        <w:t xml:space="preserve">is generally </w:t>
      </w:r>
      <w:r w:rsidR="00AD3CC3" w:rsidRPr="00D03F93">
        <w:t xml:space="preserve">difficult for </w:t>
      </w:r>
      <w:r w:rsidR="00855ED2" w:rsidRPr="00D03F93">
        <w:t xml:space="preserve">companies to know about </w:t>
      </w:r>
      <w:r w:rsidR="009A0F01" w:rsidRPr="00D03F93">
        <w:t>competing</w:t>
      </w:r>
      <w:r w:rsidR="00855ED2" w:rsidRPr="00D03F93">
        <w:t xml:space="preserve"> R&amp;D projects</w:t>
      </w:r>
      <w:r w:rsidR="003E4A81">
        <w:t>,</w:t>
      </w:r>
      <w:r w:rsidR="00855ED2" w:rsidRPr="00D03F93">
        <w:t xml:space="preserve"> </w:t>
      </w:r>
      <w:r w:rsidR="00556DFC" w:rsidRPr="00D03F93">
        <w:t>making the identification of three projects very challenging in practice</w:t>
      </w:r>
      <w:r w:rsidR="00855ED2" w:rsidRPr="00D03F93">
        <w:t>.</w:t>
      </w:r>
      <w:r w:rsidRPr="00D03F93">
        <w:t xml:space="preserve"> </w:t>
      </w:r>
      <w:r w:rsidR="00556DFC" w:rsidRPr="00D03F93">
        <w:t>Finally</w:t>
      </w:r>
      <w:r w:rsidRPr="00D03F93">
        <w:t>, this condition could, in practice, be structurally difficult to meet in concentrated markets, further reducing the potential practical applications of the innovation shield. In the pharmaceutical sector, for example, it is often the case that a limited number of companies may pursue competing R&amp;D projects; however, given R&amp;D costs, it is rarely the case that a great number of pharmaceutical companies are engaged in developing potentially competing drug candidates, which will likely result in striking out the application of the innovation shield in a significant number of transactions.</w:t>
      </w:r>
    </w:p>
    <w:p w14:paraId="4CB23034" w14:textId="69943CBC" w:rsidR="00AA7120" w:rsidRPr="00D03F93" w:rsidRDefault="001A1A62" w:rsidP="000506D9">
      <w:pPr>
        <w:pStyle w:val="Firm1L2"/>
      </w:pPr>
      <w:r w:rsidRPr="00D03F93">
        <w:t xml:space="preserve">The alternative criterion under (b), that </w:t>
      </w:r>
      <w:r w:rsidR="002D7F99">
        <w:t>“</w:t>
      </w:r>
      <w:r w:rsidRPr="00D03F93">
        <w:rPr>
          <w:i/>
          <w:iCs/>
        </w:rPr>
        <w:t>the acquirer is not the largest firm in the relevant market or a gatekeeper</w:t>
      </w:r>
      <w:r w:rsidR="002D7F99">
        <w:rPr>
          <w:i/>
          <w:iCs/>
        </w:rPr>
        <w:t>”</w:t>
      </w:r>
      <w:r w:rsidRPr="00D03F93">
        <w:rPr>
          <w:i/>
          <w:iCs/>
        </w:rPr>
        <w:t xml:space="preserve"> reflects an overly binary and reductive approach to competitive risk that sits in tension with the Commission</w:t>
      </w:r>
      <w:r w:rsidR="002D7F99">
        <w:rPr>
          <w:i/>
          <w:iCs/>
        </w:rPr>
        <w:t>’</w:t>
      </w:r>
      <w:r w:rsidRPr="00D03F93">
        <w:rPr>
          <w:i/>
          <w:iCs/>
        </w:rPr>
        <w:t xml:space="preserve">s own analytical framework. The Commission itself acknowledged that </w:t>
      </w:r>
      <w:r w:rsidR="002D7F99">
        <w:rPr>
          <w:i/>
          <w:iCs/>
        </w:rPr>
        <w:t>“</w:t>
      </w:r>
      <w:r w:rsidRPr="00D03F93">
        <w:rPr>
          <w:i/>
          <w:iCs/>
        </w:rPr>
        <w:t>the innovation potential of the merging firms [should be taken] into account regardless of the current market position of the companies</w:t>
      </w:r>
      <w:r w:rsidR="002D7F99">
        <w:t>”</w:t>
      </w:r>
      <w:r w:rsidRPr="00D03F93">
        <w:t xml:space="preserve">. It is therefore </w:t>
      </w:r>
      <w:r w:rsidRPr="00D03F93">
        <w:lastRenderedPageBreak/>
        <w:t>surprising that it would now take a different approach in the Draft Guidelines. Furthermore, a second or third player may have a greater incentive to neutralize an emerging competitive threat than the market leader itself, making this an unreliable indicator of actual competition risk.</w:t>
      </w:r>
    </w:p>
    <w:p w14:paraId="39B39725" w14:textId="7981A2D9" w:rsidR="00391839" w:rsidRPr="00D03F93" w:rsidRDefault="00391839" w:rsidP="006340E6">
      <w:pPr>
        <w:pStyle w:val="Firm5L2"/>
      </w:pPr>
      <w:r w:rsidRPr="00D03F93">
        <w:t>Entrenchment of a dominant position</w:t>
      </w:r>
    </w:p>
    <w:p w14:paraId="6EBA1393" w14:textId="7DB8B31A" w:rsidR="00E4480D" w:rsidRPr="00D03F93" w:rsidRDefault="00E92707" w:rsidP="0037427F">
      <w:pPr>
        <w:pStyle w:val="Style1"/>
      </w:pPr>
      <w:r w:rsidRPr="00D03F93">
        <w:t>The APDC welcomes the Commission</w:t>
      </w:r>
      <w:r w:rsidR="002D7F99">
        <w:t>’</w:t>
      </w:r>
      <w:r w:rsidRPr="00D03F93">
        <w:t xml:space="preserve">s effort to provide guidance on the circumstances in which a merger may entrench a dominant position by structurally creating or reinforcing barriers to entry and expansion, thereby reducing market contestability. The APDC nevertheless considers that this section would benefit from clearer limiting principles, given the novelty of this theory of harm, the limited decisional practice on which it rests, and the risk that broad concepts such as </w:t>
      </w:r>
      <w:r w:rsidR="002D7F99">
        <w:t>“</w:t>
      </w:r>
      <w:r w:rsidRPr="00D03F93">
        <w:rPr>
          <w:i/>
          <w:iCs/>
        </w:rPr>
        <w:t>ecosystems</w:t>
      </w:r>
      <w:r w:rsidR="002D7F99">
        <w:t>”</w:t>
      </w:r>
      <w:r w:rsidRPr="00D03F93">
        <w:t xml:space="preserve">, </w:t>
      </w:r>
      <w:r w:rsidR="002D7F99">
        <w:t>“</w:t>
      </w:r>
      <w:r w:rsidRPr="00D03F93">
        <w:rPr>
          <w:i/>
          <w:iCs/>
        </w:rPr>
        <w:t>strategically important assets</w:t>
      </w:r>
      <w:r w:rsidR="002D7F99">
        <w:t>”</w:t>
      </w:r>
      <w:r w:rsidRPr="00D03F93">
        <w:t xml:space="preserve"> and </w:t>
      </w:r>
      <w:r w:rsidR="002D7F99">
        <w:t>“</w:t>
      </w:r>
      <w:r w:rsidRPr="00D03F93">
        <w:rPr>
          <w:i/>
          <w:iCs/>
        </w:rPr>
        <w:t>reduced contestability</w:t>
      </w:r>
      <w:r w:rsidR="002D7F99">
        <w:t>”</w:t>
      </w:r>
      <w:r w:rsidRPr="00D03F93">
        <w:t xml:space="preserve"> could otherwise become difficult for undertakings to apply in practice.</w:t>
      </w:r>
      <w:r w:rsidRPr="00D03F93" w:rsidDel="001A1A62">
        <w:t xml:space="preserve"> </w:t>
      </w:r>
    </w:p>
    <w:p w14:paraId="726BB6DE" w14:textId="0588F2ED" w:rsidR="00E4480D" w:rsidRPr="00D03F93" w:rsidRDefault="00946F05" w:rsidP="000506D9">
      <w:pPr>
        <w:pStyle w:val="Style1"/>
      </w:pPr>
      <w:bookmarkStart w:id="2" w:name="cite-b89ebbcb-3f1d-4229-8653-edbc49e2bd7"/>
      <w:r w:rsidRPr="00D03F93">
        <w:t xml:space="preserve">First, the APDC notes that the entrenchment theory of harm is supported by </w:t>
      </w:r>
      <w:r w:rsidR="00FD1BF8" w:rsidRPr="00D03F93">
        <w:t xml:space="preserve">very </w:t>
      </w:r>
      <w:r w:rsidRPr="00D03F93">
        <w:t xml:space="preserve">scarce decisional practice. </w:t>
      </w:r>
      <w:bookmarkStart w:id="3" w:name="cite-9f34eeb0-b98b-4503-9f9d-04ea4a3f908"/>
      <w:bookmarkEnd w:id="2"/>
      <w:r w:rsidRPr="00D03F93">
        <w:t xml:space="preserve">To date, </w:t>
      </w:r>
      <w:r w:rsidRPr="00D03F93">
        <w:rPr>
          <w:i/>
          <w:iCs/>
        </w:rPr>
        <w:t>Booking/</w:t>
      </w:r>
      <w:proofErr w:type="spellStart"/>
      <w:r w:rsidRPr="00D03F93">
        <w:rPr>
          <w:i/>
          <w:iCs/>
        </w:rPr>
        <w:t>eTraveli</w:t>
      </w:r>
      <w:proofErr w:type="spellEnd"/>
      <w:r w:rsidRPr="00D03F93">
        <w:t xml:space="preserve"> appears to be the only Commission decision to have applied an ecosystem or entrenchment theory explicitly as the basis for prohibiting a transaction. </w:t>
      </w:r>
      <w:bookmarkStart w:id="4" w:name="cite-ea77fa3b-485e-4a7d-bb8d-14ae535b5c4"/>
      <w:bookmarkEnd w:id="3"/>
      <w:r w:rsidRPr="00D03F93">
        <w:t xml:space="preserve">That decision is currently under appeal before the General Court in </w:t>
      </w:r>
      <w:r w:rsidRPr="00D03F93">
        <w:rPr>
          <w:i/>
          <w:iCs/>
        </w:rPr>
        <w:t>Booking Holdings v Commission</w:t>
      </w:r>
      <w:r w:rsidRPr="00D03F93">
        <w:t xml:space="preserve"> (Case T-1139/23).</w:t>
      </w:r>
      <w:bookmarkStart w:id="5" w:name="cite-3bfd1cb5-ac5a-4a74-8d14-c651ae4f3ac"/>
      <w:bookmarkEnd w:id="4"/>
      <w:r w:rsidRPr="00D03F93">
        <w:t xml:space="preserve"> The forthcoming judgment is therefore likely to provide important guidance on whether, and under what conditions, the Commission may rely on entrenchment as a self-standing theory of harm. </w:t>
      </w:r>
      <w:bookmarkStart w:id="6" w:name="cite-3379bee1-075c-47db-9e8b-f05942c424f"/>
      <w:bookmarkEnd w:id="5"/>
      <w:r w:rsidRPr="00D03F93">
        <w:t xml:space="preserve">In light of that pending judicial review, the Final Guidelines should avoid presenting the entrenchment of a dominant position as settled </w:t>
      </w:r>
      <w:r w:rsidR="008962B7" w:rsidRPr="00D03F93">
        <w:t xml:space="preserve">case </w:t>
      </w:r>
      <w:r w:rsidRPr="00D03F93">
        <w:t xml:space="preserve">law and should make clear that any entrenchment finding remains subject to the Commission demonstrating, on the basis of a consistent body of evidence, that the transaction is likely to give rise to a SIEC. </w:t>
      </w:r>
      <w:bookmarkEnd w:id="6"/>
    </w:p>
    <w:p w14:paraId="0185AABD" w14:textId="5AC6FB4E" w:rsidR="00946F05" w:rsidRPr="00D03F93" w:rsidRDefault="00946F05" w:rsidP="000506D9">
      <w:pPr>
        <w:pStyle w:val="Style1"/>
      </w:pPr>
      <w:bookmarkStart w:id="7" w:name="cite-cb08e55a-ed0a-4499-b393-9ca60487ab3"/>
      <w:r w:rsidRPr="00D03F93">
        <w:t xml:space="preserve">Second, the APDC invites the Commission to clarify the scope of the </w:t>
      </w:r>
      <w:r w:rsidR="002D7F99">
        <w:t>“</w:t>
      </w:r>
      <w:r w:rsidRPr="00D03F93">
        <w:rPr>
          <w:i/>
          <w:iCs/>
        </w:rPr>
        <w:t>ecosystem</w:t>
      </w:r>
      <w:r w:rsidR="002D7F99">
        <w:t>”</w:t>
      </w:r>
      <w:r w:rsidRPr="00D03F93">
        <w:t xml:space="preserve"> concept. </w:t>
      </w:r>
      <w:bookmarkEnd w:id="7"/>
      <w:r w:rsidR="00682A05" w:rsidRPr="00D03F93">
        <w:t>Para.</w:t>
      </w:r>
      <w:r w:rsidRPr="00D03F93">
        <w:t xml:space="preserve"> 252 states that entrenchment may arise within a </w:t>
      </w:r>
      <w:r w:rsidR="002D7F99">
        <w:t>“</w:t>
      </w:r>
      <w:r w:rsidRPr="00D03F93">
        <w:rPr>
          <w:i/>
          <w:iCs/>
        </w:rPr>
        <w:t>core market</w:t>
      </w:r>
      <w:r w:rsidR="002D7F99">
        <w:t>”</w:t>
      </w:r>
      <w:r w:rsidRPr="00D03F93">
        <w:t xml:space="preserve"> or across closely related markets forming an </w:t>
      </w:r>
      <w:r w:rsidR="002D7F99">
        <w:t>“</w:t>
      </w:r>
      <w:r w:rsidRPr="00D03F93">
        <w:rPr>
          <w:i/>
          <w:iCs/>
        </w:rPr>
        <w:t>ecosystem</w:t>
      </w:r>
      <w:proofErr w:type="gramStart"/>
      <w:r w:rsidR="002D7F99">
        <w:t>”</w:t>
      </w:r>
      <w:r w:rsidRPr="00D03F93">
        <w:t>, but</w:t>
      </w:r>
      <w:proofErr w:type="gramEnd"/>
      <w:r w:rsidRPr="00D03F93">
        <w:t xml:space="preserve"> does not expressly confine the concept to digital markets. </w:t>
      </w:r>
      <w:bookmarkStart w:id="8" w:name="cite-afd5e215-1163-4cad-a07f-a155702a7f4"/>
      <w:r w:rsidRPr="00D03F93">
        <w:t xml:space="preserve">The cross-reference to the Market Definition Notice does not fully resolve the issue, since that Notice explains ecosystems principally by reference to a primary core product and secondary digital products connected through technological links or interoperability, such as mobile operating systems, hardware, app stores and applications. </w:t>
      </w:r>
      <w:bookmarkStart w:id="9" w:name="cite-f64b5ab9-e02a-4e19-8164-788de9f3795"/>
      <w:bookmarkEnd w:id="8"/>
      <w:r w:rsidRPr="00D03F93">
        <w:t>The Final Guidelines should therefore explain whether the ecosystem concept is intended to apply beyond digital markets and, if so, provide non-digital examples and limiting criteria.</w:t>
      </w:r>
      <w:bookmarkStart w:id="10" w:name="cite-e532edf6-0d38-48d9-8a38-bb2c279d198"/>
      <w:bookmarkEnd w:id="9"/>
      <w:r w:rsidRPr="00D03F93">
        <w:t xml:space="preserve"> In particular, the Commission should clarify that the existence of a broad commercial portfolio, common customers, or complementary products is not in itself sufficient to establish an ecosystem capable of giving rise to entrenchment. </w:t>
      </w:r>
      <w:bookmarkEnd w:id="10"/>
      <w:r w:rsidRPr="00D03F93">
        <w:t xml:space="preserve">The assessment should remain anchored in identifiable relevant markets, a demonstrated causal link between the transaction and increased barriers to entry or expansion, and objective evidence that the acquired assets materially reduce future contestability. </w:t>
      </w:r>
    </w:p>
    <w:p w14:paraId="5927E6F8" w14:textId="75D2F7BE" w:rsidR="00832109" w:rsidRPr="00D03F93" w:rsidRDefault="00832109" w:rsidP="00832109">
      <w:pPr>
        <w:pStyle w:val="Firm1L1"/>
      </w:pPr>
      <w:bookmarkStart w:id="11" w:name="cite-b51ac13c-da32-4181-b116-a2990d47a6e"/>
      <w:r w:rsidRPr="00D03F93">
        <w:t xml:space="preserve">Third, </w:t>
      </w:r>
      <w:r w:rsidR="002E3B82" w:rsidRPr="00D03F93">
        <w:t>para.</w:t>
      </w:r>
      <w:r w:rsidRPr="00D03F93">
        <w:t xml:space="preserve"> 252 should clarify whether the listed factors are cumulative conditions or elements of a body of evidence to be assessed holistically. </w:t>
      </w:r>
      <w:bookmarkStart w:id="12" w:name="cite-d1a193af-b449-4b00-8108-f1abf154d1d"/>
      <w:bookmarkEnd w:id="11"/>
      <w:r w:rsidRPr="00D03F93">
        <w:t xml:space="preserve">This point is important </w:t>
      </w:r>
      <w:r w:rsidRPr="00D03F93">
        <w:lastRenderedPageBreak/>
        <w:t xml:space="preserve">because, elsewhere in the Draft Guidelines, the Commission expressly identifies cumulative conditions for certain theories of harm, such as potential competition and foreclosure. </w:t>
      </w:r>
      <w:bookmarkStart w:id="13" w:name="cite-98a599c9-4179-48e5-939e-baf901eafe1"/>
      <w:bookmarkEnd w:id="12"/>
      <w:r w:rsidRPr="00D03F93">
        <w:t xml:space="preserve">By contrast, the entrenchment section states that a merger </w:t>
      </w:r>
      <w:r w:rsidR="002D7F99">
        <w:t>“</w:t>
      </w:r>
      <w:r w:rsidRPr="00D03F93">
        <w:rPr>
          <w:i/>
          <w:iCs/>
        </w:rPr>
        <w:t>may lead to entrenchment in the presence of the following factors</w:t>
      </w:r>
      <w:r w:rsidR="002D7F99">
        <w:t>”</w:t>
      </w:r>
      <w:r w:rsidRPr="00D03F93">
        <w:t xml:space="preserve">, without explaining whether each factor must be present. </w:t>
      </w:r>
      <w:bookmarkStart w:id="14" w:name="cite-a5d9c4ad-1ca7-4a5f-8e34-708292fc569"/>
      <w:bookmarkEnd w:id="13"/>
      <w:r w:rsidRPr="00D03F93">
        <w:t xml:space="preserve">The APDC considers that, at a minimum, the </w:t>
      </w:r>
      <w:r w:rsidR="00FD7A23" w:rsidRPr="00D03F93">
        <w:t xml:space="preserve">Final </w:t>
      </w:r>
      <w:r w:rsidRPr="00D03F93">
        <w:t>Guidelines should identify as necessary threshold conditions that (i) at least one merging party is dominant in a clearly identified core market or group of closely related markets, (ii) the acquired assets are sufficiently connected to that core market, and (iii) control of those assets is capable of materially restricting rivals</w:t>
      </w:r>
      <w:r w:rsidR="002D7F99">
        <w:t>’</w:t>
      </w:r>
      <w:r w:rsidRPr="00D03F93">
        <w:t xml:space="preserve"> ability or incentives to enter or expand. </w:t>
      </w:r>
      <w:bookmarkStart w:id="15" w:name="cite-5d0ea9a1-8c94-4e0c-880d-c0993f908d2"/>
      <w:bookmarkEnd w:id="14"/>
      <w:r w:rsidRPr="00D03F93">
        <w:t xml:space="preserve">Other elements, such as network effects, scale economies, customer inertia, the extent of existing entry barriers, and the availability of counterstrategies, could then be treated as evidential factors informing the overall assessment. </w:t>
      </w:r>
      <w:bookmarkEnd w:id="15"/>
      <w:r w:rsidRPr="00D03F93">
        <w:t>Such clarification would enhance legal certainty while preserving the Commission</w:t>
      </w:r>
      <w:r w:rsidR="002D7F99">
        <w:t>’</w:t>
      </w:r>
      <w:r w:rsidRPr="00D03F93">
        <w:t xml:space="preserve">s ability to conduct a case-specific, effects-based assessment. </w:t>
      </w:r>
    </w:p>
    <w:p w14:paraId="6AD49A8C" w14:textId="630D87E7" w:rsidR="00832109" w:rsidRPr="00D03F93" w:rsidRDefault="00832109" w:rsidP="00870BDB">
      <w:pPr>
        <w:pStyle w:val="Firm1L1"/>
        <w:rPr>
          <w:lang w:val="en-US"/>
        </w:rPr>
      </w:pPr>
      <w:bookmarkStart w:id="16" w:name="cite-5e704583-ce13-4772-8e3a-f158ec7bbe3"/>
      <w:r w:rsidRPr="00D03F93">
        <w:t xml:space="preserve">Fourth, the APDC invites the Commission to refine </w:t>
      </w:r>
      <w:r w:rsidR="00FD6990" w:rsidRPr="00D03F93">
        <w:t>para.</w:t>
      </w:r>
      <w:r w:rsidRPr="00D03F93">
        <w:t xml:space="preserve"> 256, which refers to acquired assets that are </w:t>
      </w:r>
      <w:r w:rsidR="002D7F99">
        <w:t>“</w:t>
      </w:r>
      <w:r w:rsidRPr="00D03F93">
        <w:rPr>
          <w:i/>
          <w:iCs/>
        </w:rPr>
        <w:t>unique, scarce or otherwise strategically important</w:t>
      </w:r>
      <w:r w:rsidR="002D7F99">
        <w:t>”</w:t>
      </w:r>
      <w:r w:rsidRPr="00D03F93">
        <w:t xml:space="preserve">. </w:t>
      </w:r>
      <w:bookmarkStart w:id="17" w:name="cite-79dc15fc-ff8e-48ab-9f87-8d22e4ab66d"/>
      <w:bookmarkEnd w:id="16"/>
      <w:r w:rsidRPr="00D03F93">
        <w:t xml:space="preserve">These terms are </w:t>
      </w:r>
      <w:r w:rsidR="00B8382B" w:rsidRPr="00D03F93">
        <w:t xml:space="preserve">very </w:t>
      </w:r>
      <w:r w:rsidRPr="00D03F93">
        <w:t xml:space="preserve">broad and may capture assets that </w:t>
      </w:r>
      <w:r w:rsidR="00885CFB" w:rsidRPr="00D03F93">
        <w:t xml:space="preserve">might be </w:t>
      </w:r>
      <w:r w:rsidRPr="00D03F93">
        <w:t xml:space="preserve">valuable to the acquirer without being competitively indispensable to rivals. </w:t>
      </w:r>
      <w:bookmarkStart w:id="18" w:name="cite-eba6ff27-6b0c-4277-9428-5fbd810dcbe"/>
      <w:bookmarkEnd w:id="17"/>
      <w:r w:rsidRPr="00D03F93">
        <w:t xml:space="preserve">For consistency with Article 102 TFEU principles, the Commission should clarify that the importance of the acquired asset will be assessed by reference to whether rivals can replicate, obtain, develop or substitute that asset within a reasonable time and at reasonable cost. </w:t>
      </w:r>
      <w:bookmarkStart w:id="19" w:name="cite-e25f298e-72b0-44b9-bde1-c568b916a6f"/>
      <w:bookmarkEnd w:id="18"/>
      <w:r w:rsidRPr="00D03F93">
        <w:t>The APDC does not suggest importing the Article 102 case law (</w:t>
      </w:r>
      <w:r w:rsidRPr="00D03F93">
        <w:rPr>
          <w:i/>
          <w:iCs/>
        </w:rPr>
        <w:t>Bronner</w:t>
      </w:r>
      <w:r w:rsidRPr="00D03F93">
        <w:t xml:space="preserve">, </w:t>
      </w:r>
      <w:r w:rsidRPr="00D03F93">
        <w:rPr>
          <w:i/>
          <w:iCs/>
        </w:rPr>
        <w:t>Android Auto</w:t>
      </w:r>
      <w:r w:rsidRPr="00D03F93">
        <w:t xml:space="preserve">) on refusal-to-supply into merger control, given the </w:t>
      </w:r>
      <w:proofErr w:type="spellStart"/>
      <w:proofErr w:type="gramStart"/>
      <w:r w:rsidRPr="00D03F93">
        <w:rPr>
          <w:i/>
          <w:iCs/>
        </w:rPr>
        <w:t>ex ante</w:t>
      </w:r>
      <w:proofErr w:type="spellEnd"/>
      <w:proofErr w:type="gramEnd"/>
      <w:r w:rsidRPr="00D03F93">
        <w:t xml:space="preserve"> and structural nature of the EUMR assessment. However, where an entrenchment concern depends on the merged firm controlling an asset that rivals allegedly need to compete, the Final Guidelines should align the analysis with the logic of indispensability, substitutability and replicability reflected in Article 102</w:t>
      </w:r>
      <w:r w:rsidR="00AF3421" w:rsidRPr="00D03F93">
        <w:t xml:space="preserve"> of the</w:t>
      </w:r>
      <w:r w:rsidRPr="00D03F93">
        <w:t xml:space="preserve"> </w:t>
      </w:r>
      <w:r w:rsidR="00AF3421" w:rsidRPr="00D03F93">
        <w:t>Treaty on the Functioning of the European Union (</w:t>
      </w:r>
      <w:r w:rsidR="002D7F99">
        <w:t>“</w:t>
      </w:r>
      <w:r w:rsidR="00AF3421" w:rsidRPr="00D03F93">
        <w:rPr>
          <w:b/>
          <w:bCs/>
        </w:rPr>
        <w:t>TFEU</w:t>
      </w:r>
      <w:r w:rsidR="002D7F99">
        <w:t>”</w:t>
      </w:r>
      <w:r w:rsidR="00AF3421" w:rsidRPr="00D03F93">
        <w:t>)</w:t>
      </w:r>
      <w:r w:rsidR="00AF3421" w:rsidRPr="00D03F93" w:rsidDel="00AF3421">
        <w:t xml:space="preserve"> </w:t>
      </w:r>
      <w:r w:rsidRPr="00D03F93">
        <w:t>case law and the</w:t>
      </w:r>
      <w:r w:rsidR="008B13E6" w:rsidRPr="00D03F93">
        <w:t xml:space="preserve"> </w:t>
      </w:r>
      <w:hyperlink r:id="rId11" w:history="1">
        <w:r w:rsidR="00193271">
          <w:rPr>
            <w:rStyle w:val="Hyperlink"/>
            <w:u w:val="none"/>
            <w:lang w:val="en-US"/>
          </w:rPr>
          <w:t>D</w:t>
        </w:r>
        <w:r w:rsidR="008B13E6" w:rsidRPr="00D03F93">
          <w:rPr>
            <w:rStyle w:val="Hyperlink"/>
            <w:u w:val="none"/>
            <w:lang w:val="en-US"/>
          </w:rPr>
          <w:t xml:space="preserve">raft </w:t>
        </w:r>
        <w:r w:rsidR="00193271">
          <w:rPr>
            <w:rStyle w:val="Hyperlink"/>
            <w:u w:val="none"/>
            <w:lang w:val="en-US"/>
          </w:rPr>
          <w:t>G</w:t>
        </w:r>
        <w:r w:rsidR="008B13E6" w:rsidRPr="00D03F93">
          <w:rPr>
            <w:rStyle w:val="Hyperlink"/>
            <w:u w:val="none"/>
            <w:lang w:val="en-US"/>
          </w:rPr>
          <w:t>uidelines on the application of Article 102</w:t>
        </w:r>
        <w:r w:rsidR="00AF3421" w:rsidRPr="00D03F93">
          <w:rPr>
            <w:rStyle w:val="Hyperlink"/>
            <w:u w:val="none"/>
            <w:lang w:val="en-US"/>
          </w:rPr>
          <w:t xml:space="preserve"> TFEU </w:t>
        </w:r>
        <w:r w:rsidR="008B13E6" w:rsidRPr="00D03F93">
          <w:rPr>
            <w:rStyle w:val="Hyperlink"/>
            <w:u w:val="none"/>
            <w:lang w:val="en-US"/>
          </w:rPr>
          <w:t>to abusive exclusionary conduct by dominant undertakings</w:t>
        </w:r>
      </w:hyperlink>
      <w:r w:rsidRPr="00D03F93">
        <w:t xml:space="preserve">. </w:t>
      </w:r>
      <w:bookmarkStart w:id="20" w:name="cite-9067b5ce-d2a1-4239-b728-980797d4e39"/>
      <w:bookmarkEnd w:id="19"/>
      <w:proofErr w:type="gramStart"/>
      <w:r w:rsidRPr="00D03F93">
        <w:t>In particular, it</w:t>
      </w:r>
      <w:proofErr w:type="gramEnd"/>
      <w:r w:rsidRPr="00D03F93">
        <w:t xml:space="preserve"> should not be sufficient to show that the asset is useful, attractive, or commercially advantageous; rather, the Commission should identify why the loss of independent access to that asset would materially increase entry or expansion barriers in the core market. </w:t>
      </w:r>
      <w:bookmarkEnd w:id="20"/>
    </w:p>
    <w:p w14:paraId="7939E09F" w14:textId="068F44CA" w:rsidR="00832109" w:rsidRPr="00D03F93" w:rsidRDefault="00832109" w:rsidP="00832109">
      <w:pPr>
        <w:pStyle w:val="Firm1L1"/>
      </w:pPr>
      <w:bookmarkStart w:id="21" w:name="cite-2579c569-f266-43ee-8189-66aaafa68cb"/>
      <w:r w:rsidRPr="00D03F93">
        <w:t xml:space="preserve">Fifth, the APDC recommends that </w:t>
      </w:r>
      <w:r w:rsidR="00B87957" w:rsidRPr="00D03F93">
        <w:t>para.</w:t>
      </w:r>
      <w:r w:rsidRPr="00D03F93">
        <w:t xml:space="preserve"> 259 provide</w:t>
      </w:r>
      <w:r w:rsidR="0013070A" w:rsidRPr="00D03F93">
        <w:t>s</w:t>
      </w:r>
      <w:r w:rsidRPr="00D03F93">
        <w:t xml:space="preserve"> clearer guidance on the cumulative assessment of foreclosure and entrenchment concerns. </w:t>
      </w:r>
      <w:bookmarkStart w:id="22" w:name="cite-794679a5-0326-46f3-aa94-c368ffa2bf5"/>
      <w:r w:rsidRPr="00D03F93">
        <w:t xml:space="preserve">The current </w:t>
      </w:r>
      <w:r w:rsidR="00B87957" w:rsidRPr="00D03F93">
        <w:t>D</w:t>
      </w:r>
      <w:r w:rsidRPr="00D03F93">
        <w:t>raft Guidelines state that a foreclosure strategy may simultaneously harm specific rivals and reinforce the merged firm</w:t>
      </w:r>
      <w:r w:rsidR="002D7F99">
        <w:t>’</w:t>
      </w:r>
      <w:r w:rsidRPr="00D03F93">
        <w:t xml:space="preserve">s dominant position in the core market, but it does not explain how the Commission will avoid double counting or distinguish the incremental contribution of each theory of harm. </w:t>
      </w:r>
      <w:bookmarkStart w:id="23" w:name="cite-bec8d1e4-569d-4cfe-81a8-1e27a3c7e8e"/>
      <w:bookmarkEnd w:id="22"/>
      <w:r w:rsidRPr="00D03F93">
        <w:t>Where both concerns are pursued, the Commission should identify separately (i) the foreclosure mechanism, including the merged entity</w:t>
      </w:r>
      <w:r w:rsidR="002D7F99">
        <w:t>’</w:t>
      </w:r>
      <w:r w:rsidRPr="00D03F93">
        <w:t xml:space="preserve">s ability and incentive to foreclose and the likely effect on competition, and (ii) the distinct entrenchment mechanism, including how the transaction changes structural barriers and reduces future contestability in the core market. </w:t>
      </w:r>
      <w:bookmarkEnd w:id="23"/>
    </w:p>
    <w:p w14:paraId="3C6B2607" w14:textId="414E9C99" w:rsidR="00832109" w:rsidRPr="00D03F93" w:rsidRDefault="00832109" w:rsidP="00832109">
      <w:pPr>
        <w:pStyle w:val="Firm1L1"/>
      </w:pPr>
      <w:bookmarkStart w:id="24" w:name="cite-e729f78c-c8e9-4755-a15d-854e4b9f8e7"/>
      <w:bookmarkEnd w:id="21"/>
      <w:r w:rsidRPr="00D03F93">
        <w:t>The articulation between the two analyses should also be clarified. A foreclosure finding should not automatically entail an entrenchment finding merely because foreclosure may raise rivals</w:t>
      </w:r>
      <w:r w:rsidR="002D7F99">
        <w:t>’</w:t>
      </w:r>
      <w:r w:rsidRPr="00D03F93">
        <w:t xml:space="preserve"> costs or deprive them of scale, and an entrenchment </w:t>
      </w:r>
      <w:r w:rsidRPr="00D03F93">
        <w:lastRenderedPageBreak/>
        <w:t xml:space="preserve">finding should not be used to dispense with the ability, incentive and effects analysis where the concern is in substance that rivals will be denied or degraded access. Conversely, where the same facts are relied upon under both theories, the Commission should explain whether those facts prove harm to identified rivals, a structural reduction in contestability, or both, and should identify the incremental competitive harm that justifies treating the concerns cumulatively. This would make the two theories easier to use in practice, preserve the distinct function of the established foreclosure framework, and ensure that the newer entrenchment theory remains anchored in a merger-specific and evidence-based assessment of structural barriers rather than in the mere existence of dominance or an expanded ecosystem. </w:t>
      </w:r>
      <w:bookmarkEnd w:id="24"/>
    </w:p>
    <w:p w14:paraId="47797665" w14:textId="7FDA81A7" w:rsidR="00946F05" w:rsidRPr="00D03F93" w:rsidRDefault="00832109" w:rsidP="000506D9">
      <w:pPr>
        <w:pStyle w:val="Firm1L1"/>
      </w:pPr>
      <w:bookmarkStart w:id="25" w:name="cite-906e4bba-53b6-4340-8b33-2d80f1e3cb5"/>
      <w:r w:rsidRPr="00D03F93">
        <w:t xml:space="preserve">In summary, the APDC recommends that the </w:t>
      </w:r>
      <w:r w:rsidR="00FD7A23" w:rsidRPr="00D03F93">
        <w:t>Final</w:t>
      </w:r>
      <w:r w:rsidR="00C42412" w:rsidRPr="00D03F93">
        <w:t xml:space="preserve"> </w:t>
      </w:r>
      <w:r w:rsidRPr="00D03F93">
        <w:t xml:space="preserve">Guidelines (i) acknowledge the limited and still contested decisional basis for the entrenchment theory pending the outcome of </w:t>
      </w:r>
      <w:r w:rsidRPr="00D03F93">
        <w:rPr>
          <w:i/>
          <w:iCs/>
        </w:rPr>
        <w:t>Booking Holdings v Commission</w:t>
      </w:r>
      <w:r w:rsidRPr="00D03F93">
        <w:t xml:space="preserve">; (ii) clarify whether and how the ecosystem concept applies outside digital markets; (iii) specify which factors in </w:t>
      </w:r>
      <w:r w:rsidR="005C1D65" w:rsidRPr="00D03F93">
        <w:t>paras.</w:t>
      </w:r>
      <w:r w:rsidRPr="00D03F93">
        <w:t xml:space="preserve"> 252 to 258 are cumulative conditions and which are evidential factors; (iv) align the assessment of strategically important assets with concepts of indispensability, substitutability and replicability; and (v) explain how foreclosure and entrenchment concerns will be assessed cumulatively without double counting. </w:t>
      </w:r>
      <w:bookmarkStart w:id="26" w:name="cite-460d0486-b653-4c33-bc75-1be999a00c9"/>
      <w:bookmarkEnd w:id="25"/>
      <w:r w:rsidRPr="00D03F93">
        <w:t>These clarifications would improve predictability for undertakings while preserving the Commission</w:t>
      </w:r>
      <w:r w:rsidR="002D7F99">
        <w:t>’</w:t>
      </w:r>
      <w:r w:rsidRPr="00D03F93">
        <w:t xml:space="preserve">s ability to address transactions that demonstrably and materially reduce market contestability. </w:t>
      </w:r>
      <w:bookmarkEnd w:id="26"/>
    </w:p>
    <w:p w14:paraId="35BA4470" w14:textId="7D515464" w:rsidR="00391839" w:rsidRPr="00D03F93" w:rsidRDefault="00391839" w:rsidP="006340E6">
      <w:pPr>
        <w:pStyle w:val="Firm5L2"/>
      </w:pPr>
      <w:r w:rsidRPr="00D03F93">
        <w:t>Coordination</w:t>
      </w:r>
    </w:p>
    <w:p w14:paraId="78B6A56C" w14:textId="7CACEF55" w:rsidR="0065341E" w:rsidRPr="00D03F93" w:rsidRDefault="00E57F76" w:rsidP="0037427F">
      <w:pPr>
        <w:pStyle w:val="Style1"/>
      </w:pPr>
      <w:r w:rsidRPr="00D03F93">
        <w:t>The APDC welcomes the consolidation of the Commission</w:t>
      </w:r>
      <w:r w:rsidR="002D7F99">
        <w:t>’</w:t>
      </w:r>
      <w:r w:rsidRPr="00D03F93">
        <w:t xml:space="preserve">s decisional practice on coordinated effects in the Draft Guidelines, which provides a useful opportunity to clarify and modernise the analytical framework </w:t>
      </w:r>
      <w:proofErr w:type="gramStart"/>
      <w:r w:rsidRPr="00D03F93">
        <w:t>in light of</w:t>
      </w:r>
      <w:proofErr w:type="gramEnd"/>
      <w:r w:rsidRPr="00D03F93">
        <w:t xml:space="preserve"> evolving market dynamics.</w:t>
      </w:r>
      <w:r w:rsidRPr="00D03F93" w:rsidDel="00E57F76">
        <w:t xml:space="preserve"> </w:t>
      </w:r>
    </w:p>
    <w:p w14:paraId="570F9C0F" w14:textId="11667FE6" w:rsidR="0065341E" w:rsidRPr="00D03F93" w:rsidRDefault="00F6047D" w:rsidP="000506D9">
      <w:pPr>
        <w:pStyle w:val="Style1"/>
      </w:pPr>
      <w:r w:rsidRPr="00D03F93">
        <w:t>However, the APDC considers that the Draft Guidelines do not sufficiently refine the analytical framework applicable to coordination. While they confirm the Commission</w:t>
      </w:r>
      <w:r w:rsidR="002D7F99">
        <w:t>’</w:t>
      </w:r>
      <w:r w:rsidRPr="00D03F93">
        <w:t>s established multi-factor approach – focusing on transparency, symmetry, monitoring and deterrence mechanisms – they do not sufficiently strengthen or clarify the evidentiary discipline required to establish coordinated effects, nor do they fully reflect developments in economic thinking or current market realities.</w:t>
      </w:r>
    </w:p>
    <w:p w14:paraId="47B46D4E" w14:textId="3355EA18" w:rsidR="00EE0C57" w:rsidRPr="00D03F93" w:rsidRDefault="00F6047D" w:rsidP="000506D9">
      <w:pPr>
        <w:pStyle w:val="Style1"/>
      </w:pPr>
      <w:r w:rsidRPr="00D03F93">
        <w:t xml:space="preserve">A key concern relates to the distinction between markets that are conducive to coordination and situations where coordination is likely to arise </w:t>
      </w:r>
      <w:proofErr w:type="gramStart"/>
      <w:r w:rsidRPr="00D03F93">
        <w:t>as a result of</w:t>
      </w:r>
      <w:proofErr w:type="gramEnd"/>
      <w:r w:rsidRPr="00D03F93">
        <w:t xml:space="preserve"> the merger. The Draft Guidelines rely on structural indicators such as concentration, product homogeneity and market transparency, which may indicate that a market is susceptible to coordination. However, these factors alone are not sufficient to demonstrate that coordination will emerge or be sustained post-merger. The APDC therefore considers that the </w:t>
      </w:r>
      <w:r w:rsidR="00307654" w:rsidRPr="00D03F93">
        <w:t>Draft</w:t>
      </w:r>
      <w:r w:rsidRPr="00D03F93">
        <w:t xml:space="preserve"> Guidelines should more clearly emphasize that, in line with the SIEC standard and established case law, coordinated effects must be shown to be sufficiently likely and not merely plausible.</w:t>
      </w:r>
    </w:p>
    <w:p w14:paraId="2FD622AE" w14:textId="4E8B039D" w:rsidR="00EE0C57" w:rsidRPr="00D03F93" w:rsidRDefault="00F6047D" w:rsidP="000506D9">
      <w:pPr>
        <w:pStyle w:val="Style1"/>
      </w:pPr>
      <w:r w:rsidRPr="00D03F93">
        <w:t xml:space="preserve">In this respect, although coordinated effects require cumulative conditions – including the ability to reach a tacit understanding, effectively monitor compliance and deter deviations – the Draft Guidelines do not sufficiently clarify the evidentiary threshold </w:t>
      </w:r>
      <w:r w:rsidRPr="00D03F93">
        <w:lastRenderedPageBreak/>
        <w:t>applicable to these elements. There is therefore a risk that coordination concerns may be inferred from a combination of indicative factors, without a rigorous demonstration that these conditions are met in practice.</w:t>
      </w:r>
    </w:p>
    <w:p w14:paraId="00A64E15" w14:textId="24456350" w:rsidR="00EE0C57" w:rsidRPr="00D03F93" w:rsidRDefault="00F6047D" w:rsidP="000506D9">
      <w:pPr>
        <w:pStyle w:val="Style1"/>
      </w:pPr>
      <w:r w:rsidRPr="00D03F93">
        <w:t>This concern is further reinforced by the fact that the guidance available for assessing coordinated effects remains relatively high-level. In practice, the assessment appears to rely to a significant extent on qualitative considerations and broad criteria, rather than on clearly specified indicators. The APDC considers that additional methodological clarification could further enhance the transparency, predictability and robustness of the Commission</w:t>
      </w:r>
      <w:r w:rsidR="002D7F99">
        <w:t>’</w:t>
      </w:r>
      <w:r w:rsidRPr="00D03F93">
        <w:t>s assessment, thereby providing greater certainty for notifying parties.</w:t>
      </w:r>
    </w:p>
    <w:p w14:paraId="4ADF7130" w14:textId="7CB5EE5C" w:rsidR="00EE0C57" w:rsidRPr="00D03F93" w:rsidRDefault="00F6047D" w:rsidP="000506D9">
      <w:pPr>
        <w:pStyle w:val="Style1"/>
      </w:pPr>
      <w:r w:rsidRPr="00D03F93">
        <w:t>More generally, the APDC considers that the Draft Guidelines do not sufficiently reflect the role of dynamic and disruptive competitive forces in undermining the stability of coordination. In many markets – particularly those characterised by innovation, technological change or demand volatility – sustained coordination may be difficult to achieve and maintain. Factors such as innovation, entry, product differentiation and shifting demand conditions may significantly increase incentives to deviate and reduce the feasibility of coordinated outcomes. These elements should be more clearly integrated into the analytical framework.</w:t>
      </w:r>
    </w:p>
    <w:p w14:paraId="4E9465E3" w14:textId="093E7117" w:rsidR="00EE0C57" w:rsidRPr="00D03F93" w:rsidRDefault="00F6047D" w:rsidP="000506D9">
      <w:pPr>
        <w:pStyle w:val="Style1"/>
      </w:pPr>
      <w:r w:rsidRPr="00D03F93">
        <w:t xml:space="preserve">As regards the role of artificial intelligence and algorithmic pricing, the APDC considers that the Draft Guidelines would benefit from a more nuanced approach. While such tools may, in certain circumstances, increase transparency and observability, their impact is highly context-dependent and there is limited empirical evidence that their use systematically facilitates tacit coordination. The </w:t>
      </w:r>
      <w:r w:rsidR="00FF1DE1" w:rsidRPr="00D03F93">
        <w:t>Draft</w:t>
      </w:r>
      <w:r w:rsidRPr="00D03F93">
        <w:t xml:space="preserve"> Guidelines should therefore avoid any implication that the mere use of algorithms increases coordination risks and should clarify that any assessment must be grounded in concrete, case-specific evidence.</w:t>
      </w:r>
    </w:p>
    <w:p w14:paraId="614AD188" w14:textId="5A2A50AE" w:rsidR="003256B7" w:rsidRPr="00D03F93" w:rsidRDefault="00F6047D" w:rsidP="000506D9">
      <w:pPr>
        <w:pStyle w:val="Style1"/>
      </w:pPr>
      <w:r w:rsidRPr="00D03F93">
        <w:t xml:space="preserve">The Draft Guidelines also emphasize that coordination may arise in markets characterised by asymmetries between firms (such as differences in size, cost structures or strategic positioning). Even if coordination may arise in such markets, the APDC considers that identifying coordination in such contexts requires particularly robust evidence, as the alignment of incentives is less straightforward than in traditional symmetrical oligopolies. The </w:t>
      </w:r>
      <w:r w:rsidR="00FF1DE1" w:rsidRPr="00D03F93">
        <w:t>Draft</w:t>
      </w:r>
      <w:r w:rsidRPr="00D03F93">
        <w:t xml:space="preserve"> Guidelines should therefore set out more clearly the evidentiary requirements applicable in such cases, </w:t>
      </w:r>
      <w:proofErr w:type="gramStart"/>
      <w:r w:rsidRPr="00D03F93">
        <w:t>in order to</w:t>
      </w:r>
      <w:proofErr w:type="gramEnd"/>
      <w:r w:rsidRPr="00D03F93">
        <w:t xml:space="preserve"> mitigate the risk of over-extending coordination theories of harm.</w:t>
      </w:r>
    </w:p>
    <w:p w14:paraId="007772B7" w14:textId="30F0321B" w:rsidR="003256B7" w:rsidRPr="00D03F93" w:rsidRDefault="00F6047D" w:rsidP="000506D9">
      <w:pPr>
        <w:pStyle w:val="Style1"/>
      </w:pPr>
      <w:r w:rsidRPr="00D03F93">
        <w:t xml:space="preserve">Similarly, coordination mechanisms such as </w:t>
      </w:r>
      <w:r w:rsidR="002D7F99">
        <w:t>“</w:t>
      </w:r>
      <w:r w:rsidRPr="00D03F93">
        <w:rPr>
          <w:i/>
          <w:iCs/>
        </w:rPr>
        <w:t>follow-the-leader</w:t>
      </w:r>
      <w:r w:rsidR="002D7F99">
        <w:t>”</w:t>
      </w:r>
      <w:r w:rsidRPr="00D03F93">
        <w:t xml:space="preserve"> behaviour or coordination facilitated by multi-market contact remain complex and fact-intensive. Their application in merger control requires a careful distinction between coordinated behaviour and lawful parallel conduct or strategic interdependence. The APDC therefore considers that the </w:t>
      </w:r>
      <w:r w:rsidR="00FF1DE1" w:rsidRPr="00D03F93">
        <w:t xml:space="preserve">Draft </w:t>
      </w:r>
      <w:r w:rsidRPr="00D03F93">
        <w:t>Guidelines should include clear safeguards to prevent such phenomena from being conflated with anti-competitive coordination.</w:t>
      </w:r>
    </w:p>
    <w:p w14:paraId="6AFBEB75" w14:textId="2B0E130B" w:rsidR="003256B7" w:rsidRPr="00D03F93" w:rsidRDefault="00F6047D" w:rsidP="000506D9">
      <w:pPr>
        <w:pStyle w:val="Style1"/>
      </w:pPr>
      <w:r w:rsidRPr="00D03F93">
        <w:t xml:space="preserve">More broadly, the APDC notes that the expanded analytical framework set out in the Draft Guidelines – including a wider range of theories of harm and increased flexibility in their application – may increase the scope for identifying coordination concerns. </w:t>
      </w:r>
      <w:r w:rsidRPr="00D03F93">
        <w:lastRenderedPageBreak/>
        <w:t xml:space="preserve">While this flexibility may be justified </w:t>
      </w:r>
      <w:proofErr w:type="gramStart"/>
      <w:r w:rsidRPr="00D03F93">
        <w:t>in order to</w:t>
      </w:r>
      <w:proofErr w:type="gramEnd"/>
      <w:r w:rsidRPr="00D03F93">
        <w:t xml:space="preserve"> reflect diverse market situations, it also confers a significant degree of discretion on the Commission.</w:t>
      </w:r>
    </w:p>
    <w:p w14:paraId="4A23CB67" w14:textId="66713528" w:rsidR="003256B7" w:rsidRPr="00D03F93" w:rsidRDefault="00F6047D" w:rsidP="000506D9">
      <w:pPr>
        <w:pStyle w:val="Style1"/>
      </w:pPr>
      <w:r w:rsidRPr="00D03F93">
        <w:t>This increased discretion may, in turn, affect predictability. The assessment of coordinated effects is inherently complex and fact-specific, and the absence of clear benchmarks may make it difficult for notifying parties to anticipate how the Commission will apply the framework in practice.</w:t>
      </w:r>
    </w:p>
    <w:p w14:paraId="137AD43D" w14:textId="265D39C2" w:rsidR="003256B7" w:rsidRPr="00D03F93" w:rsidRDefault="00F6047D" w:rsidP="000506D9">
      <w:pPr>
        <w:pStyle w:val="Style1"/>
      </w:pPr>
      <w:r w:rsidRPr="00D03F93">
        <w:rPr>
          <w:bCs/>
        </w:rPr>
        <w:t>In summary,</w:t>
      </w:r>
      <w:r w:rsidRPr="00D03F93">
        <w:t xml:space="preserve"> the APDC considers that the Commission should refine its approach to coordinated effects in the </w:t>
      </w:r>
      <w:r w:rsidR="00FD7A23" w:rsidRPr="00D03F93">
        <w:t>Final</w:t>
      </w:r>
      <w:r w:rsidRPr="00D03F93">
        <w:t xml:space="preserve"> Guidelines. In particular, the Commission should (i) more clearly distinguish between conditions that make coordination possible and those that make it likely, (ii) strengthen the evidentiary requirements applicable to coordination, (iii) provide more structured guidance on the analytical approach, and (iv) better integrate the role of dynamic competition in assessing the sustainability of coordination.</w:t>
      </w:r>
    </w:p>
    <w:p w14:paraId="221629CF" w14:textId="09BEFB58" w:rsidR="00E57F76" w:rsidRPr="00D03F93" w:rsidRDefault="00F6047D" w:rsidP="003256B7">
      <w:pPr>
        <w:pStyle w:val="Style1"/>
      </w:pPr>
      <w:r w:rsidRPr="00D03F93">
        <w:t>Such clarifications would contribute to a more balanced, predictable and economically grounded framework for the assessment of coordinated effects, while preserving the Commission</w:t>
      </w:r>
      <w:r w:rsidR="002D7F99">
        <w:t>’</w:t>
      </w:r>
      <w:r w:rsidRPr="00D03F93">
        <w:t>s ability to intervene in cases where mergers genuinely increase the risk of anti-competitive coordination.</w:t>
      </w:r>
    </w:p>
    <w:p w14:paraId="79BF6A4B" w14:textId="3562EBBF" w:rsidR="00391839" w:rsidRPr="00D03F93" w:rsidRDefault="00391839" w:rsidP="006340E6">
      <w:pPr>
        <w:pStyle w:val="Firm5L2"/>
      </w:pPr>
      <w:r w:rsidRPr="00D03F93">
        <w:t>Other anticompetitive effects</w:t>
      </w:r>
    </w:p>
    <w:p w14:paraId="147D992A" w14:textId="34432824" w:rsidR="00111C9D" w:rsidRPr="00D03F93" w:rsidRDefault="00111C9D" w:rsidP="00720632">
      <w:pPr>
        <w:pStyle w:val="Sch1L8"/>
        <w:ind w:firstLine="720"/>
      </w:pPr>
      <w:r w:rsidRPr="00D03F93">
        <w:t>Access to commercially sensitive information</w:t>
      </w:r>
    </w:p>
    <w:p w14:paraId="06AEF1B2" w14:textId="33DB59F9" w:rsidR="007D728D" w:rsidRPr="00D03F93" w:rsidRDefault="002A04E2" w:rsidP="0037427F">
      <w:pPr>
        <w:pStyle w:val="Style1"/>
      </w:pPr>
      <w:r w:rsidRPr="00D03F93">
        <w:t xml:space="preserve">First, the </w:t>
      </w:r>
      <w:r w:rsidR="007D728D" w:rsidRPr="00D03F93">
        <w:t>t</w:t>
      </w:r>
      <w:r w:rsidRPr="00D03F93">
        <w:t xml:space="preserve">heory of </w:t>
      </w:r>
      <w:r w:rsidR="007D728D" w:rsidRPr="00D03F93">
        <w:t>h</w:t>
      </w:r>
      <w:r w:rsidRPr="00D03F93">
        <w:t xml:space="preserve">arm is not merger specific and standalone. The exchange of commercially sensitive information </w:t>
      </w:r>
      <w:r w:rsidR="00325099" w:rsidRPr="00D03F93">
        <w:t>(</w:t>
      </w:r>
      <w:r w:rsidR="002D7F99">
        <w:t>“</w:t>
      </w:r>
      <w:r w:rsidR="00325099" w:rsidRPr="00D03F93">
        <w:rPr>
          <w:b/>
          <w:bCs/>
        </w:rPr>
        <w:t>CSI</w:t>
      </w:r>
      <w:r w:rsidR="002D7F99" w:rsidRPr="006340E6">
        <w:t>”</w:t>
      </w:r>
      <w:r w:rsidR="00325099" w:rsidRPr="00D03F93">
        <w:t xml:space="preserve">) </w:t>
      </w:r>
      <w:r w:rsidRPr="00D03F93">
        <w:t xml:space="preserve">between competitors </w:t>
      </w:r>
      <w:r w:rsidR="00325099" w:rsidRPr="00D03F93">
        <w:t xml:space="preserve">is </w:t>
      </w:r>
      <w:r w:rsidRPr="00D03F93">
        <w:t xml:space="preserve">an established </w:t>
      </w:r>
      <w:r w:rsidR="006B0DD3" w:rsidRPr="00D03F93">
        <w:t xml:space="preserve">potential </w:t>
      </w:r>
      <w:r w:rsidRPr="00D03F93">
        <w:t>restriction of competition under Article 101, as developed in the Horizontal Cooperation Guidelines</w:t>
      </w:r>
      <w:r w:rsidR="009E03F5" w:rsidRPr="00D03F93">
        <w:rPr>
          <w:rStyle w:val="FootnoteReference"/>
        </w:rPr>
        <w:footnoteReference w:id="12"/>
      </w:r>
      <w:r w:rsidR="009E03F5" w:rsidRPr="00D03F93">
        <w:t xml:space="preserve"> (the </w:t>
      </w:r>
      <w:r w:rsidR="002D7F99">
        <w:t>“</w:t>
      </w:r>
      <w:r w:rsidR="009E03F5" w:rsidRPr="00D03F93">
        <w:rPr>
          <w:b/>
          <w:bCs/>
        </w:rPr>
        <w:t>Horizontal Cooperation Guidelines</w:t>
      </w:r>
      <w:r w:rsidR="002D7F99">
        <w:t>”</w:t>
      </w:r>
      <w:r w:rsidR="009E03F5" w:rsidRPr="00D03F93">
        <w:t>)</w:t>
      </w:r>
      <w:r w:rsidRPr="00D03F93">
        <w:t xml:space="preserve">. To the extent the merged entity </w:t>
      </w:r>
      <w:proofErr w:type="gramStart"/>
      <w:r w:rsidR="00CF514E" w:rsidRPr="00D03F93">
        <w:t>were</w:t>
      </w:r>
      <w:proofErr w:type="gramEnd"/>
      <w:r w:rsidR="00CF514E" w:rsidRPr="00D03F93">
        <w:t xml:space="preserve"> </w:t>
      </w:r>
      <w:r w:rsidRPr="00D03F93">
        <w:t>to use rivals</w:t>
      </w:r>
      <w:r w:rsidR="002D7F99">
        <w:t>’</w:t>
      </w:r>
      <w:r w:rsidRPr="00D03F93">
        <w:t xml:space="preserve"> information to price less aggressively or to deter entry, this conduct could, in principle, be challenged under Article 101 (or Article 102 where the merged entity holds a dominant position). </w:t>
      </w:r>
      <w:r w:rsidR="00692CA7" w:rsidRPr="00D03F93">
        <w:t>However, t</w:t>
      </w:r>
      <w:r w:rsidRPr="00D03F93">
        <w:t xml:space="preserve">he concern underlying this theory of harm is not, in itself, </w:t>
      </w:r>
      <w:proofErr w:type="gramStart"/>
      <w:r w:rsidRPr="00D03F93">
        <w:t>merger-specific</w:t>
      </w:r>
      <w:proofErr w:type="gramEnd"/>
      <w:r w:rsidRPr="00D03F93">
        <w:t>. Moreover, given that the merger control framework is primarily designed to assess structural changes to market conditions, there may be a question as to whether elevating information access to a standalone merger theory of harm could risk blurring the line between structural and behavioural concerns, thereby potentially departing from the traditional focus of merger control.</w:t>
      </w:r>
      <w:r w:rsidRPr="00D03F93" w:rsidDel="002A04E2">
        <w:t xml:space="preserve"> </w:t>
      </w:r>
    </w:p>
    <w:p w14:paraId="1CE19111" w14:textId="1C2B8ED5" w:rsidR="005B5CB0" w:rsidRPr="00D03F93" w:rsidRDefault="00B15E02" w:rsidP="000506D9">
      <w:pPr>
        <w:pStyle w:val="Style1"/>
      </w:pPr>
      <w:r w:rsidRPr="00D03F93">
        <w:rPr>
          <w:bCs/>
        </w:rPr>
        <w:t>Second</w:t>
      </w:r>
      <w:r w:rsidRPr="00D03F93">
        <w:rPr>
          <w:b/>
        </w:rPr>
        <w:t xml:space="preserve">, </w:t>
      </w:r>
      <w:r w:rsidRPr="00D03F93">
        <w:rPr>
          <w:bCs/>
        </w:rPr>
        <w:t xml:space="preserve">the </w:t>
      </w:r>
      <w:r w:rsidR="007D728D" w:rsidRPr="00D03F93">
        <w:rPr>
          <w:bCs/>
        </w:rPr>
        <w:t>t</w:t>
      </w:r>
      <w:r w:rsidRPr="00D03F93">
        <w:rPr>
          <w:bCs/>
        </w:rPr>
        <w:t xml:space="preserve">heory of </w:t>
      </w:r>
      <w:r w:rsidR="007D728D" w:rsidRPr="00D03F93">
        <w:rPr>
          <w:bCs/>
        </w:rPr>
        <w:t>h</w:t>
      </w:r>
      <w:r w:rsidRPr="00D03F93">
        <w:rPr>
          <w:bCs/>
        </w:rPr>
        <w:t>arm has an overly broad scope.</w:t>
      </w:r>
      <w:r w:rsidRPr="00D03F93">
        <w:rPr>
          <w:b/>
        </w:rPr>
        <w:t xml:space="preserve"> </w:t>
      </w:r>
      <w:r w:rsidR="0009740C" w:rsidRPr="00D03F93">
        <w:t>Para.</w:t>
      </w:r>
      <w:r w:rsidRPr="00D03F93">
        <w:t xml:space="preserve"> 283 defines </w:t>
      </w:r>
      <w:r w:rsidR="009D7E47" w:rsidRPr="00D03F93">
        <w:t>CSI</w:t>
      </w:r>
      <w:r w:rsidRPr="00D03F93">
        <w:t xml:space="preserve"> broadly, particularly through its catch-all reference to </w:t>
      </w:r>
      <w:r w:rsidR="002D7F99">
        <w:t>“</w:t>
      </w:r>
      <w:r w:rsidRPr="00D03F93">
        <w:rPr>
          <w:i/>
          <w:iCs/>
        </w:rPr>
        <w:t>other competitively relevant data</w:t>
      </w:r>
      <w:r w:rsidR="002D7F99">
        <w:t>”</w:t>
      </w:r>
      <w:r w:rsidR="00E824E6" w:rsidRPr="00D03F93">
        <w:t>.</w:t>
      </w:r>
      <w:r w:rsidRPr="00D03F93">
        <w:t xml:space="preserve"> In practice, most mergers involving firms operating in related or vertically linked markets will entail some degree of information flow between the merging parties and their trading partners. The</w:t>
      </w:r>
      <w:r w:rsidR="00B14351" w:rsidRPr="00D03F93">
        <w:t xml:space="preserve"> Draft</w:t>
      </w:r>
      <w:r w:rsidRPr="00D03F93">
        <w:t xml:space="preserve"> Guidelines do not provide a materiality threshold that would help distinguish between information flows that are competitively significant and those that are inherent to normal commercial relationships. By way of comparison, the Horizontal Cooperation Guidelines on information exchanges offer a more structured </w:t>
      </w:r>
      <w:r w:rsidRPr="00D03F93">
        <w:lastRenderedPageBreak/>
        <w:t xml:space="preserve">framework, distinguishing between the nature, age, frequency and aggregation level of exchanged information to assess its competitive significance. In the absence of an equivalent analytical structure in the </w:t>
      </w:r>
      <w:r w:rsidR="003D6BE6" w:rsidRPr="00D03F93">
        <w:t>Fina</w:t>
      </w:r>
      <w:r w:rsidR="0020424E">
        <w:t>l</w:t>
      </w:r>
      <w:r w:rsidR="003D6BE6" w:rsidRPr="00D03F93">
        <w:t xml:space="preserve"> Guidelines</w:t>
      </w:r>
      <w:r w:rsidRPr="00D03F93">
        <w:t>, merging parties may find it difficult to assess with sufficient certainty whether a given information flow is likely to raise concerns.</w:t>
      </w:r>
    </w:p>
    <w:p w14:paraId="398CC3AC" w14:textId="44D55148" w:rsidR="005B5CB0" w:rsidRPr="00D03F93" w:rsidRDefault="00B15E02" w:rsidP="000506D9">
      <w:pPr>
        <w:pStyle w:val="Style1"/>
      </w:pPr>
      <w:r w:rsidRPr="00D03F93">
        <w:t xml:space="preserve">In addition, the Commission appears to envisage a broad application of this theory of harm. </w:t>
      </w:r>
      <w:proofErr w:type="gramStart"/>
      <w:r w:rsidRPr="00D03F93">
        <w:t xml:space="preserve">In particular, </w:t>
      </w:r>
      <w:r w:rsidR="00D1236E" w:rsidRPr="00D03F93">
        <w:t>para</w:t>
      </w:r>
      <w:proofErr w:type="gramEnd"/>
      <w:r w:rsidR="00D1236E" w:rsidRPr="00D03F93">
        <w:t>.</w:t>
      </w:r>
      <w:r w:rsidRPr="00D03F93">
        <w:t xml:space="preserve"> 286 of the </w:t>
      </w:r>
      <w:r w:rsidR="00D1236E" w:rsidRPr="00D03F93">
        <w:t>D</w:t>
      </w:r>
      <w:r w:rsidRPr="00D03F93">
        <w:t xml:space="preserve">raft Guidelines </w:t>
      </w:r>
      <w:r w:rsidR="003D4790" w:rsidRPr="00D03F93">
        <w:t>indicates that access</w:t>
      </w:r>
      <w:r w:rsidRPr="00D03F93">
        <w:t xml:space="preserve"> to </w:t>
      </w:r>
      <w:r w:rsidR="0041387E" w:rsidRPr="00D03F93">
        <w:t>CSI</w:t>
      </w:r>
      <w:r w:rsidRPr="00D03F93">
        <w:t xml:space="preserve"> may</w:t>
      </w:r>
      <w:proofErr w:type="gramStart"/>
      <w:r w:rsidRPr="00D03F93">
        <w:t>, in itself, give</w:t>
      </w:r>
      <w:proofErr w:type="gramEnd"/>
      <w:r w:rsidRPr="00D03F93">
        <w:t xml:space="preserve"> rise to a finding of a SIEC, even in the absence of any foreclosure effect. As a result, this theory no longer needs to be confined to, or dependent upon, traditional vertical or conglomerate theory of harm, but may operate as a standalone basis for intervention.</w:t>
      </w:r>
      <w:r w:rsidR="0061214D" w:rsidRPr="00D03F93">
        <w:t xml:space="preserve"> </w:t>
      </w:r>
    </w:p>
    <w:p w14:paraId="2A241179" w14:textId="469C1AE3" w:rsidR="005B5CB0" w:rsidRPr="00D03F93" w:rsidRDefault="00982ABB" w:rsidP="000506D9">
      <w:pPr>
        <w:pStyle w:val="Style1"/>
      </w:pPr>
      <w:r w:rsidRPr="00D03F93">
        <w:t>Furthermore, a</w:t>
      </w:r>
      <w:r w:rsidR="00B15E02" w:rsidRPr="00D03F93">
        <w:t>s currently framed, this theory of harm could, in principle, be invoked in any concentration involving an information flow, which is virtually every vertical or conglomerate merger (and this even in the absence of a vertical or conglomerate theory of harm).</w:t>
      </w:r>
    </w:p>
    <w:p w14:paraId="3E2A0AF3" w14:textId="55B69B00" w:rsidR="006F4AA2" w:rsidRPr="00D03F93" w:rsidRDefault="00D83596" w:rsidP="000506D9">
      <w:pPr>
        <w:pStyle w:val="Style1"/>
      </w:pPr>
      <w:r w:rsidRPr="00D03F93">
        <w:rPr>
          <w:bCs/>
        </w:rPr>
        <w:t>Finally</w:t>
      </w:r>
      <w:r w:rsidR="00B15E02" w:rsidRPr="00D03F93">
        <w:rPr>
          <w:bCs/>
        </w:rPr>
        <w:t>,</w:t>
      </w:r>
      <w:r w:rsidR="00B15E02" w:rsidRPr="00D03F93">
        <w:rPr>
          <w:b/>
          <w:i/>
          <w:iCs/>
        </w:rPr>
        <w:t xml:space="preserve"> </w:t>
      </w:r>
      <w:r w:rsidR="00B15E02" w:rsidRPr="00D03F93">
        <w:rPr>
          <w:bCs/>
        </w:rPr>
        <w:t xml:space="preserve">the </w:t>
      </w:r>
      <w:r w:rsidR="005B5CB0" w:rsidRPr="00D03F93">
        <w:rPr>
          <w:bCs/>
        </w:rPr>
        <w:t>t</w:t>
      </w:r>
      <w:r w:rsidR="00B15E02" w:rsidRPr="00D03F93">
        <w:rPr>
          <w:bCs/>
        </w:rPr>
        <w:t xml:space="preserve">heory of </w:t>
      </w:r>
      <w:r w:rsidR="005B5CB0" w:rsidRPr="00D03F93">
        <w:rPr>
          <w:bCs/>
        </w:rPr>
        <w:t>h</w:t>
      </w:r>
      <w:r w:rsidR="00B15E02" w:rsidRPr="00D03F93">
        <w:rPr>
          <w:bCs/>
        </w:rPr>
        <w:t xml:space="preserve">arm overlaps with other </w:t>
      </w:r>
      <w:r w:rsidR="005B5CB0" w:rsidRPr="00D03F93">
        <w:rPr>
          <w:bCs/>
        </w:rPr>
        <w:t>t</w:t>
      </w:r>
      <w:r w:rsidR="00B15E02" w:rsidRPr="00D03F93">
        <w:rPr>
          <w:bCs/>
        </w:rPr>
        <w:t xml:space="preserve">heories of </w:t>
      </w:r>
      <w:r w:rsidR="005B5CB0" w:rsidRPr="00D03F93">
        <w:rPr>
          <w:bCs/>
        </w:rPr>
        <w:t>h</w:t>
      </w:r>
      <w:r w:rsidR="00B15E02" w:rsidRPr="00D03F93">
        <w:rPr>
          <w:bCs/>
        </w:rPr>
        <w:t xml:space="preserve">arm. </w:t>
      </w:r>
      <w:r w:rsidR="005C1D65" w:rsidRPr="00D03F93">
        <w:t>Para.</w:t>
      </w:r>
      <w:r w:rsidR="00B15E02" w:rsidRPr="00D03F93">
        <w:t xml:space="preserve"> 286 expressly states that </w:t>
      </w:r>
      <w:r w:rsidR="002D7F99">
        <w:t>“</w:t>
      </w:r>
      <w:r w:rsidR="00B15E02" w:rsidRPr="00D03F93">
        <w:rPr>
          <w:i/>
          <w:iCs/>
        </w:rPr>
        <w:t>access to commercially sensitive data may facilitate coordination among competitors</w:t>
      </w:r>
      <w:r w:rsidR="002D7F99">
        <w:t>”</w:t>
      </w:r>
      <w:r w:rsidR="00B15E02" w:rsidRPr="00D03F93">
        <w:t>. This creates an overlap with the theory of coordinated effects (</w:t>
      </w:r>
      <w:r w:rsidR="00D1236E" w:rsidRPr="00D03F93">
        <w:t>paras.</w:t>
      </w:r>
      <w:r w:rsidR="00B15E02" w:rsidRPr="00D03F93">
        <w:t xml:space="preserve"> 260 to 281), where access to information is already identified as a key factor enabling firms to reach and sustain coordination. The coordinated effects framework already provides an analysis of how information access, combined with market transparency, monitoring capabilities and deterrence mechanisms, may facilitate tacit or explicit collusion. It is not entirely clear what the standalone theory of harm based on access to </w:t>
      </w:r>
      <w:r w:rsidR="00946608" w:rsidRPr="00D03F93">
        <w:t>CSI</w:t>
      </w:r>
      <w:r w:rsidR="00B15E02" w:rsidRPr="00D03F93">
        <w:t xml:space="preserve"> adds to the informational dimension already embedded in the coordinated effects analysis, or how it differs in terms of analytical structure.</w:t>
      </w:r>
    </w:p>
    <w:p w14:paraId="46786C46" w14:textId="1A4C813A" w:rsidR="006F4AA2" w:rsidRPr="00D03F93" w:rsidRDefault="00B15E02" w:rsidP="000506D9">
      <w:pPr>
        <w:pStyle w:val="Style1"/>
      </w:pPr>
      <w:r w:rsidRPr="00D03F93">
        <w:t>In summary, the theory addresses a concern</w:t>
      </w:r>
      <w:r w:rsidR="006F4AA2" w:rsidRPr="00D03F93">
        <w:t xml:space="preserve"> – </w:t>
      </w:r>
      <w:r w:rsidRPr="00D03F93">
        <w:t>the anticompetitive use of rivals</w:t>
      </w:r>
      <w:r w:rsidR="002D7F99">
        <w:t>’</w:t>
      </w:r>
      <w:r w:rsidRPr="00D03F93">
        <w:t xml:space="preserve"> information</w:t>
      </w:r>
      <w:r w:rsidR="006F4AA2" w:rsidRPr="00D03F93">
        <w:t xml:space="preserve"> – </w:t>
      </w:r>
      <w:r w:rsidRPr="00D03F93">
        <w:t>that appears to be already largely addressed by existing instruments: Article 101 TFEU for behavioural aspects, the coordinated effects framework for its role in facilitating collusion, and the foreclosure theory of harm for its potential to undermine rivals</w:t>
      </w:r>
      <w:r w:rsidR="002D7F99">
        <w:t>’</w:t>
      </w:r>
      <w:r w:rsidRPr="00D03F93">
        <w:t xml:space="preserve"> competitive position. </w:t>
      </w:r>
      <w:proofErr w:type="gramStart"/>
      <w:r w:rsidRPr="00D03F93">
        <w:t>In light of</w:t>
      </w:r>
      <w:proofErr w:type="gramEnd"/>
      <w:r w:rsidRPr="00D03F93">
        <w:t xml:space="preserve"> the above, it may be worth reflecting on whether the informational dimension of competitive harm could be more effectively integrated into these existing, well-established analytical frameworks, rather than maintained as a standalone merger theory of harm.</w:t>
      </w:r>
    </w:p>
    <w:p w14:paraId="148611EC" w14:textId="04064AB1" w:rsidR="00CB7935" w:rsidRPr="00D03F93" w:rsidRDefault="00B15E02" w:rsidP="00F27F70">
      <w:pPr>
        <w:pStyle w:val="Style1"/>
      </w:pPr>
      <w:r w:rsidRPr="00D03F93">
        <w:t xml:space="preserve">If the Commission considers it necessary to introduce a standalone theory of harm related to access to </w:t>
      </w:r>
      <w:r w:rsidR="00C475F4" w:rsidRPr="00D03F93">
        <w:t>CSI – which the AP</w:t>
      </w:r>
      <w:r w:rsidR="0020424E">
        <w:t>D</w:t>
      </w:r>
      <w:r w:rsidR="00C475F4" w:rsidRPr="00D03F93">
        <w:t xml:space="preserve">C </w:t>
      </w:r>
      <w:r w:rsidR="004F2AE4" w:rsidRPr="00D03F93">
        <w:t xml:space="preserve">does not believe </w:t>
      </w:r>
      <w:r w:rsidR="00F27F70" w:rsidRPr="00D03F93">
        <w:t xml:space="preserve">it should – </w:t>
      </w:r>
      <w:r w:rsidRPr="00D03F93">
        <w:t xml:space="preserve">it </w:t>
      </w:r>
      <w:r w:rsidR="00334A9F" w:rsidRPr="00D03F93">
        <w:t xml:space="preserve">must </w:t>
      </w:r>
      <w:r w:rsidRPr="00D03F93">
        <w:t xml:space="preserve">provide more detailed guidance on its assessment and set out a clear analytical framework </w:t>
      </w:r>
      <w:proofErr w:type="gramStart"/>
      <w:r w:rsidRPr="00D03F93">
        <w:t>in order to</w:t>
      </w:r>
      <w:proofErr w:type="gramEnd"/>
      <w:r w:rsidRPr="00D03F93">
        <w:t xml:space="preserve"> enhance legal certainty.</w:t>
      </w:r>
    </w:p>
    <w:p w14:paraId="2A9CE86B" w14:textId="6E4CF673" w:rsidR="00CB7935" w:rsidRPr="00D03F93" w:rsidRDefault="00B15E02" w:rsidP="000506D9">
      <w:pPr>
        <w:pStyle w:val="Style1"/>
      </w:pPr>
      <w:r w:rsidRPr="00D03F93">
        <w:t xml:space="preserve">In particular, the APDC considers that the Commission should identify indicative scenarios where concerns are unlikely to arise. These could include, </w:t>
      </w:r>
      <w:r w:rsidRPr="006340E6">
        <w:rPr>
          <w:i/>
          <w:iCs/>
        </w:rPr>
        <w:t>inter alia</w:t>
      </w:r>
      <w:r w:rsidRPr="00D03F93">
        <w:t>, situations involving effective organisational firewalls, contractual safeguards, regulatory constraints (such as data aggregation under data protection rules), standard vertical integration, or passive investments.</w:t>
      </w:r>
    </w:p>
    <w:p w14:paraId="7876080D" w14:textId="37D07350" w:rsidR="00CB7935" w:rsidRPr="00D03F93" w:rsidRDefault="00B15E02" w:rsidP="000506D9">
      <w:pPr>
        <w:pStyle w:val="Style1"/>
      </w:pPr>
      <w:r w:rsidRPr="00D03F93">
        <w:lastRenderedPageBreak/>
        <w:t>The Commission should also provide clear guidance enabling a distinction between benign, pro-competitive, necessary or unavoidable information flows, on the one hand, and those that may give rise to a credible risk of competitive harm, on the other hand.</w:t>
      </w:r>
    </w:p>
    <w:p w14:paraId="36FC2738" w14:textId="0E1ADCB8" w:rsidR="00CB7935" w:rsidRPr="00D03F93" w:rsidRDefault="00B15E02" w:rsidP="000506D9">
      <w:pPr>
        <w:pStyle w:val="Style1"/>
      </w:pPr>
      <w:r w:rsidRPr="00D03F93">
        <w:t>A more structured analytical framework should be introduced to define the circumstances in which access to information could constitute a standalone theory of harm. This could include, in particular: (i) the nature of the information (including its granularity, age, strategic relevance, and forward-looking character); and (ii) the conditions of access (including frequency, exclusivity, and the ability to identify individual competitors).</w:t>
      </w:r>
    </w:p>
    <w:p w14:paraId="79C036DE" w14:textId="615A45BD" w:rsidR="00CB7935" w:rsidRPr="00D03F93" w:rsidRDefault="00C01AF5" w:rsidP="000506D9">
      <w:pPr>
        <w:pStyle w:val="Style1"/>
      </w:pPr>
      <w:r w:rsidRPr="00D03F93">
        <w:t>Finally</w:t>
      </w:r>
      <w:r w:rsidR="00B15E02" w:rsidRPr="00D03F93">
        <w:t xml:space="preserve">, the </w:t>
      </w:r>
      <w:r w:rsidR="00CF11BF" w:rsidRPr="00D03F93">
        <w:t>Draft</w:t>
      </w:r>
      <w:r w:rsidR="00B15E02" w:rsidRPr="00D03F93">
        <w:t xml:space="preserve"> Guidelines should make clear that a finding of harm requires the Commission to demonstrate that: (i) the merged entity would have the ability to use the information in a meaningful way; (ii) it would have an incentive to do so; and (iii) such use would be likely to have a material impact on competitive outcomes</w:t>
      </w:r>
      <w:r w:rsidR="00131558" w:rsidRPr="00D03F93">
        <w:t xml:space="preserve"> to the point that this </w:t>
      </w:r>
      <w:r w:rsidR="00491B1D" w:rsidRPr="00D03F93">
        <w:t>gives rise to</w:t>
      </w:r>
      <w:r w:rsidR="00131558" w:rsidRPr="00D03F93">
        <w:t xml:space="preserve"> a SIEC</w:t>
      </w:r>
      <w:r w:rsidR="00B15E02" w:rsidRPr="00D03F93">
        <w:t>.</w:t>
      </w:r>
    </w:p>
    <w:p w14:paraId="1E12A911" w14:textId="4EDA7B8A" w:rsidR="002A04E2" w:rsidRPr="00D03F93" w:rsidRDefault="00B15E02" w:rsidP="00CB7935">
      <w:pPr>
        <w:pStyle w:val="Style1"/>
      </w:pPr>
      <w:r w:rsidRPr="00D03F93">
        <w:t>Such clarifications would significantly enhance legal certainty and ensure that intervention remains grounded in a robust, effects-based assessment.</w:t>
      </w:r>
    </w:p>
    <w:p w14:paraId="703A1BE0" w14:textId="4B40032E" w:rsidR="00391839" w:rsidRPr="00D03F93" w:rsidRDefault="00391839" w:rsidP="00720632">
      <w:pPr>
        <w:pStyle w:val="Sch1L8"/>
        <w:ind w:firstLine="720"/>
      </w:pPr>
      <w:r w:rsidRPr="00D03F93">
        <w:t>Portfolio effects</w:t>
      </w:r>
    </w:p>
    <w:p w14:paraId="1FC1D353" w14:textId="76441C12" w:rsidR="00774EBA" w:rsidRPr="00D03F93" w:rsidRDefault="00C73315" w:rsidP="0037427F">
      <w:pPr>
        <w:pStyle w:val="Style1"/>
      </w:pPr>
      <w:r w:rsidRPr="00D03F93">
        <w:t>Paras. 287 to 290 of the Draft Guidelines introduce, as a standalone theory of harm, the possibility that a merger combining products belonging to different relevant markets but sold to the same customers may give rise to a SIEC by increasing the merged firm</w:t>
      </w:r>
      <w:r w:rsidR="002D7F99">
        <w:t>’</w:t>
      </w:r>
      <w:r w:rsidRPr="00D03F93">
        <w:t xml:space="preserve">s market power, even where the products are neither substitutes nor complements and even where foreclosure is not a concern. The APDC does not question that portfolio effects may, in exceptional circumstances, warrant scrutiny, and notes the call – echoed across the responses to the consultation – for clarification of the threshold of </w:t>
      </w:r>
      <w:r w:rsidR="002D7F99">
        <w:t>“</w:t>
      </w:r>
      <w:r w:rsidRPr="00D03F93">
        <w:t>bargaining leverage</w:t>
      </w:r>
      <w:r w:rsidR="002D7F99">
        <w:t>”</w:t>
      </w:r>
      <w:r w:rsidRPr="00D03F93">
        <w:t xml:space="preserve"> sufficient to trigger concerns absent foreclosure, so that conglomerate transactions involving complementary products are not captured on attenuated theoretical bases. Against this background, the APDC considers that </w:t>
      </w:r>
      <w:r w:rsidR="002F6CF9" w:rsidRPr="00D03F93">
        <w:t>paras.</w:t>
      </w:r>
      <w:r w:rsidRPr="00D03F93">
        <w:t xml:space="preserve"> 287 to 290 should be delineated more </w:t>
      </w:r>
      <w:proofErr w:type="gramStart"/>
      <w:r w:rsidRPr="00D03F93">
        <w:t>precisely, and</w:t>
      </w:r>
      <w:proofErr w:type="gramEnd"/>
      <w:r w:rsidRPr="00D03F93">
        <w:t xml:space="preserve"> invites the Commission to address the following.</w:t>
      </w:r>
      <w:r w:rsidRPr="00D03F93" w:rsidDel="00111C9D">
        <w:t xml:space="preserve"> </w:t>
      </w:r>
    </w:p>
    <w:p w14:paraId="6C6BB3E7" w14:textId="694EED50" w:rsidR="00DC68E5" w:rsidRPr="00D03F93" w:rsidRDefault="000C47E2" w:rsidP="000506D9">
      <w:pPr>
        <w:pStyle w:val="Style1"/>
      </w:pPr>
      <w:r w:rsidRPr="00D03F93">
        <w:t xml:space="preserve">First, </w:t>
      </w:r>
      <w:r w:rsidR="002F6CF9" w:rsidRPr="00D03F93">
        <w:t>para.</w:t>
      </w:r>
      <w:r w:rsidRPr="00D03F93">
        <w:t xml:space="preserve"> 287 should restate the settled starting point that a broad portfolio is not</w:t>
      </w:r>
      <w:proofErr w:type="gramStart"/>
      <w:r w:rsidRPr="00D03F93">
        <w:t>, in itself, problematic</w:t>
      </w:r>
      <w:proofErr w:type="gramEnd"/>
      <w:r w:rsidRPr="00D03F93">
        <w:t>. The Non-Horizontal Guideline</w:t>
      </w:r>
      <w:r w:rsidR="004270CA" w:rsidRPr="00D03F93">
        <w:t>s</w:t>
      </w:r>
      <w:r w:rsidRPr="00D03F93">
        <w:t xml:space="preserve"> recognized that </w:t>
      </w:r>
      <w:r w:rsidR="002D7F99">
        <w:t>“</w:t>
      </w:r>
      <w:r w:rsidRPr="00D03F93">
        <w:rPr>
          <w:i/>
          <w:iCs/>
        </w:rPr>
        <w:t>customers may have a strong incentive to buy the range of products concerned from a single source (one-stop-shopping) rather than from many suppliers, e.g. because it saves on transaction costs</w:t>
      </w:r>
      <w:r w:rsidR="002D7F99">
        <w:t>”</w:t>
      </w:r>
      <w:r w:rsidRPr="00D03F93">
        <w:t xml:space="preserve">, and that </w:t>
      </w:r>
      <w:r w:rsidR="002D7F99">
        <w:t>“</w:t>
      </w:r>
      <w:r w:rsidRPr="00D03F93">
        <w:rPr>
          <w:i/>
          <w:iCs/>
        </w:rPr>
        <w:t>the fact that the merged entity will have a broad range or portfolio of products does not, as such, raise competition concerns</w:t>
      </w:r>
      <w:r w:rsidR="002D7F99">
        <w:t>”</w:t>
      </w:r>
      <w:r w:rsidRPr="00D03F93">
        <w:t xml:space="preserve"> (</w:t>
      </w:r>
      <w:r w:rsidR="005C1D65" w:rsidRPr="00D03F93">
        <w:t>para.</w:t>
      </w:r>
      <w:r w:rsidRPr="00D03F93">
        <w:t xml:space="preserve"> 104). </w:t>
      </w:r>
      <w:r w:rsidR="005C1D65" w:rsidRPr="00D03F93">
        <w:t>Para.</w:t>
      </w:r>
      <w:r w:rsidRPr="00D03F93">
        <w:t xml:space="preserve"> 287 should open by recalling this principle and should make clear that mergers giving rise to portfolio effects may give rise to a SIEC only </w:t>
      </w:r>
      <w:r w:rsidR="00D661D8" w:rsidRPr="00D03F93">
        <w:t xml:space="preserve">in exceptional circumstances </w:t>
      </w:r>
      <w:r w:rsidRPr="00D03F93">
        <w:t xml:space="preserve">where the conditions set out in </w:t>
      </w:r>
      <w:r w:rsidR="002F6CF9" w:rsidRPr="00D03F93">
        <w:t>para.</w:t>
      </w:r>
      <w:r w:rsidRPr="00D03F93">
        <w:t xml:space="preserve"> 288 are met.</w:t>
      </w:r>
    </w:p>
    <w:p w14:paraId="143BE8F9" w14:textId="169E0AFD" w:rsidR="00DC68E5" w:rsidRPr="00D03F93" w:rsidRDefault="000C47E2" w:rsidP="000506D9">
      <w:pPr>
        <w:pStyle w:val="Style1"/>
      </w:pPr>
      <w:r w:rsidRPr="00D03F93">
        <w:t xml:space="preserve">Second, the wording of </w:t>
      </w:r>
      <w:r w:rsidR="002F6CF9" w:rsidRPr="00D03F93">
        <w:t>para.</w:t>
      </w:r>
      <w:r w:rsidRPr="00D03F93">
        <w:t xml:space="preserve"> 288 should be made consistent with that of </w:t>
      </w:r>
      <w:r w:rsidR="003A5F8F" w:rsidRPr="00D03F93">
        <w:t>para.</w:t>
      </w:r>
      <w:r w:rsidRPr="00D03F93">
        <w:t xml:space="preserve"> 289, which would also answer the call for a clearer threshold. Whereas </w:t>
      </w:r>
      <w:r w:rsidR="005C1D65" w:rsidRPr="00D03F93">
        <w:t>para.</w:t>
      </w:r>
      <w:r w:rsidRPr="00D03F93">
        <w:t xml:space="preserve"> 288 frames the harm by reference to the generic concept of </w:t>
      </w:r>
      <w:r w:rsidR="002D7F99">
        <w:t>“</w:t>
      </w:r>
      <w:r w:rsidRPr="00D03F93">
        <w:rPr>
          <w:i/>
          <w:iCs/>
        </w:rPr>
        <w:t>market power</w:t>
      </w:r>
      <w:r w:rsidR="002D7F99">
        <w:t>”</w:t>
      </w:r>
      <w:r w:rsidRPr="00D03F93">
        <w:t xml:space="preserve">, </w:t>
      </w:r>
      <w:r w:rsidR="002F6CF9" w:rsidRPr="00D03F93">
        <w:t>para.</w:t>
      </w:r>
      <w:r w:rsidRPr="00D03F93">
        <w:t xml:space="preserve"> 289 relies on the more precise notion of a </w:t>
      </w:r>
      <w:r w:rsidR="002D7F99">
        <w:t>“</w:t>
      </w:r>
      <w:r w:rsidRPr="00D03F93">
        <w:rPr>
          <w:i/>
          <w:iCs/>
        </w:rPr>
        <w:t>strengthened bargaining position</w:t>
      </w:r>
      <w:r w:rsidR="002D7F99">
        <w:t>”</w:t>
      </w:r>
      <w:r w:rsidRPr="00D03F93">
        <w:t xml:space="preserve"> of the merged firm vis-à-</w:t>
      </w:r>
      <w:r w:rsidRPr="00D03F93">
        <w:lastRenderedPageBreak/>
        <w:t xml:space="preserve">vis its customers, leading to higher prices or worse conditions of supply. </w:t>
      </w:r>
      <w:r w:rsidR="002F6CF9" w:rsidRPr="00D03F93">
        <w:t>Para.</w:t>
      </w:r>
      <w:r w:rsidRPr="00D03F93">
        <w:t xml:space="preserve"> 288 should accordingly state that portfolio effects may give rise to a SIEC only where they (i) confer a strengthened bargaining position on the merged firm and (ii) are likely to result in higher prices or a deterioration of supply conditions. Anchoring the theory in the bargaining mechanism the Commission itself articulates would dispel the ambiguity as to the threshold for intervention and prevent the capture of benign conglomerate transactions.</w:t>
      </w:r>
    </w:p>
    <w:p w14:paraId="164CE44D" w14:textId="09012F26" w:rsidR="00DC68E5" w:rsidRPr="00D03F93" w:rsidRDefault="000C47E2" w:rsidP="000506D9">
      <w:pPr>
        <w:pStyle w:val="Style1"/>
      </w:pPr>
      <w:r w:rsidRPr="00D03F93">
        <w:t xml:space="preserve">Third, </w:t>
      </w:r>
      <w:r w:rsidR="002F6CF9" w:rsidRPr="00D03F93">
        <w:t>para.</w:t>
      </w:r>
      <w:r w:rsidRPr="00D03F93">
        <w:t xml:space="preserve"> 290 should refer to the </w:t>
      </w:r>
      <w:r w:rsidR="002D7F99">
        <w:t>“</w:t>
      </w:r>
      <w:r w:rsidRPr="00D03F93">
        <w:rPr>
          <w:i/>
          <w:iCs/>
        </w:rPr>
        <w:t>likelihood</w:t>
      </w:r>
      <w:r w:rsidR="002D7F99">
        <w:t>”</w:t>
      </w:r>
      <w:r w:rsidRPr="00D03F93">
        <w:t xml:space="preserve">, rather than the </w:t>
      </w:r>
      <w:r w:rsidR="002D7F99">
        <w:t>“</w:t>
      </w:r>
      <w:r w:rsidRPr="00D03F93">
        <w:rPr>
          <w:i/>
          <w:iCs/>
        </w:rPr>
        <w:t>plausibility</w:t>
      </w:r>
      <w:r w:rsidR="002D7F99">
        <w:t>”</w:t>
      </w:r>
      <w:r w:rsidRPr="00D03F93">
        <w:t xml:space="preserve">, of a portfolio-effects theory of harm. The reference to </w:t>
      </w:r>
      <w:r w:rsidR="002D7F99">
        <w:t>“</w:t>
      </w:r>
      <w:r w:rsidRPr="00D03F93">
        <w:rPr>
          <w:i/>
          <w:iCs/>
        </w:rPr>
        <w:t>plausibility</w:t>
      </w:r>
      <w:r w:rsidR="002D7F99">
        <w:t>”</w:t>
      </w:r>
      <w:r w:rsidRPr="00D03F93">
        <w:t xml:space="preserve"> is inconsistent both with the guiding principles of the Draft Guidelines, under which the Commission </w:t>
      </w:r>
      <w:r w:rsidR="002D7F99">
        <w:t>“</w:t>
      </w:r>
      <w:r w:rsidRPr="00D03F93">
        <w:rPr>
          <w:i/>
          <w:iCs/>
        </w:rPr>
        <w:t>carries out forward-looking analyses seeking to determine the likelihood of certain developments</w:t>
      </w:r>
      <w:r w:rsidR="002D7F99">
        <w:t>”</w:t>
      </w:r>
      <w:r w:rsidRPr="00D03F93">
        <w:t xml:space="preserve"> (</w:t>
      </w:r>
      <w:r w:rsidR="00675DE5" w:rsidRPr="00D03F93">
        <w:t>para.</w:t>
      </w:r>
      <w:r w:rsidRPr="00D03F93">
        <w:t xml:space="preserve"> 27), and with the remainder of </w:t>
      </w:r>
      <w:r w:rsidR="002F6CF9" w:rsidRPr="00D03F93">
        <w:t>para.</w:t>
      </w:r>
      <w:r w:rsidRPr="00D03F93">
        <w:t xml:space="preserve"> 290 itself, which is expressed in terms of what is </w:t>
      </w:r>
      <w:r w:rsidR="002D7F99">
        <w:t>“</w:t>
      </w:r>
      <w:r w:rsidRPr="00D03F93">
        <w:rPr>
          <w:i/>
          <w:iCs/>
        </w:rPr>
        <w:t>more likely</w:t>
      </w:r>
      <w:r w:rsidR="002D7F99">
        <w:t>”</w:t>
      </w:r>
      <w:r w:rsidRPr="00D03F93">
        <w:t xml:space="preserve"> to result in anticompetitive effects. Aligning the standard on </w:t>
      </w:r>
      <w:r w:rsidR="002D7F99">
        <w:t>“</w:t>
      </w:r>
      <w:r w:rsidRPr="00D03F93">
        <w:rPr>
          <w:i/>
          <w:iCs/>
        </w:rPr>
        <w:t>likelihood</w:t>
      </w:r>
      <w:r w:rsidR="002D7F99">
        <w:t>”</w:t>
      </w:r>
      <w:r w:rsidRPr="00D03F93">
        <w:t xml:space="preserve"> would ensure internal consistency and hold the assessment of portfolio effects to the same forward-looking discipline as the other theories of harm.</w:t>
      </w:r>
    </w:p>
    <w:p w14:paraId="4AFF9E52" w14:textId="2FB62D8D" w:rsidR="00A97B96" w:rsidRPr="00D03F93" w:rsidRDefault="00A97B96" w:rsidP="000506D9">
      <w:pPr>
        <w:pStyle w:val="Style1"/>
      </w:pPr>
      <w:r w:rsidRPr="00D03F93">
        <w:t>Fourth, a strong</w:t>
      </w:r>
      <w:r w:rsidR="00B50388" w:rsidRPr="00D03F93">
        <w:t>er</w:t>
      </w:r>
      <w:r w:rsidRPr="00D03F93">
        <w:t xml:space="preserve"> emphasis on buyer power </w:t>
      </w:r>
      <w:r w:rsidR="004D17F9" w:rsidRPr="00D03F93">
        <w:t xml:space="preserve">should </w:t>
      </w:r>
      <w:r w:rsidR="00BA720D" w:rsidRPr="00D03F93">
        <w:t xml:space="preserve">also be </w:t>
      </w:r>
      <w:r w:rsidR="00B50388" w:rsidRPr="00D03F93">
        <w:t xml:space="preserve">consider </w:t>
      </w:r>
      <w:r w:rsidR="00BA720D" w:rsidRPr="00D03F93">
        <w:t>should the Commission deci</w:t>
      </w:r>
      <w:r w:rsidR="00200F0D" w:rsidRPr="00D03F93">
        <w:t>des to maintain a standalone theory on portfolio effects. Indeed, the negotiating power of buyers is a key element of the analysis</w:t>
      </w:r>
      <w:r w:rsidR="00B46E9B" w:rsidRPr="00D03F93">
        <w:t xml:space="preserve"> that should be better reflected in the Final Guidelines. </w:t>
      </w:r>
    </w:p>
    <w:p w14:paraId="1A4F76EB" w14:textId="07945E5C" w:rsidR="00C73315" w:rsidRPr="00D03F93" w:rsidRDefault="000C47E2" w:rsidP="00DC68E5">
      <w:pPr>
        <w:pStyle w:val="Style1"/>
      </w:pPr>
      <w:r w:rsidRPr="00D03F93">
        <w:t>The APDC invites the Commission to consider whether portfolio effects are better addressed within the conglomerate foreclosure framework, in relation to tying and bundling, so that the established ability-incentive-effects test continues to apply. In any event, the Final Guidelines should provide limiting principles, materiality thresholds and guidance on the evidence the Commission will assess, so as to confine the theory to the few exceptional cases where it adds value over the existing framework and to avoid placing on the parties an open-ended burden of disproving hypothetical cross-portfolio strategies.</w:t>
      </w:r>
    </w:p>
    <w:p w14:paraId="59664ED2" w14:textId="77777777" w:rsidR="00BB75EE" w:rsidRPr="00D03F93" w:rsidRDefault="00BB75EE" w:rsidP="00BB75EE">
      <w:pPr>
        <w:pStyle w:val="Style1"/>
        <w:numPr>
          <w:ilvl w:val="0"/>
          <w:numId w:val="0"/>
        </w:numPr>
        <w:ind w:left="720"/>
      </w:pPr>
    </w:p>
    <w:p w14:paraId="602DB435" w14:textId="77777777" w:rsidR="00720632" w:rsidRPr="00D03F93" w:rsidRDefault="00720632">
      <w:pPr>
        <w:rPr>
          <w:rFonts w:eastAsia="SimSun" w:cs="Times New Roman"/>
          <w:b/>
        </w:rPr>
      </w:pPr>
      <w:r w:rsidRPr="00D03F93">
        <w:br w:type="page"/>
      </w:r>
    </w:p>
    <w:p w14:paraId="0DB478FF" w14:textId="56824F6C" w:rsidR="00391839" w:rsidRPr="00D03F93" w:rsidRDefault="00391839" w:rsidP="006340E6">
      <w:pPr>
        <w:pStyle w:val="Firm5L1"/>
      </w:pPr>
      <w:r w:rsidRPr="00D03F93">
        <w:lastRenderedPageBreak/>
        <w:t>BENEFITS FROM MERGERS (EFFICIENCIES)</w:t>
      </w:r>
    </w:p>
    <w:p w14:paraId="68117043" w14:textId="77777777" w:rsidR="00AB4BF2" w:rsidRPr="00D03F93" w:rsidRDefault="00AB4BF2" w:rsidP="00AB4BF2">
      <w:pPr>
        <w:pStyle w:val="Firm1L1"/>
        <w:rPr>
          <w:kern w:val="2"/>
          <w:szCs w:val="22"/>
          <w:lang w:val="fr-FR" w:eastAsia="zh-CN"/>
          <w14:ligatures w14:val="standardContextual"/>
        </w:rPr>
      </w:pPr>
      <w:r w:rsidRPr="00D03F93">
        <w:rPr>
          <w:u w:val="single"/>
        </w:rPr>
        <w:t>General introduction</w:t>
      </w:r>
      <w:r w:rsidRPr="00D03F93">
        <w:t>. The Draft Guidelines represent a genuine and meaningful shift in the approach to efficiencies in EU merger control. The APDC welcomes this evolution.</w:t>
      </w:r>
    </w:p>
    <w:p w14:paraId="2E3D8659" w14:textId="0D7A7849" w:rsidR="00AB4BF2" w:rsidRPr="00D03F93" w:rsidRDefault="00AB4BF2" w:rsidP="00AB4BF2">
      <w:pPr>
        <w:pStyle w:val="Firm1L1"/>
        <w:rPr>
          <w:kern w:val="2"/>
          <w:szCs w:val="22"/>
          <w:lang w:eastAsia="zh-CN"/>
          <w14:ligatures w14:val="standardContextual"/>
        </w:rPr>
      </w:pPr>
      <w:r w:rsidRPr="00D03F93">
        <w:t>For the first time, the Commission announces that it will introduce a structured theory of benefit, symmetrical to the theory of harm, and, critically, align the standard of proof applicable to efficiencies with that applied to the competitive harm analysis, so that notifying parties should no longer be held to a higher evidentiary bar than the Commission itself when establishing its theories of harm. This would be a significant advance – in theory. In practice, the APDC will highlight, throughout its response, the aspects on which the Commission</w:t>
      </w:r>
      <w:r w:rsidR="002D7F99">
        <w:t>’</w:t>
      </w:r>
      <w:r w:rsidRPr="00D03F93">
        <w:t>s positions may fall short of its stated intent.</w:t>
      </w:r>
    </w:p>
    <w:p w14:paraId="5067AFB8" w14:textId="2E6533D4" w:rsidR="00C00A85" w:rsidRPr="00D03F93" w:rsidRDefault="00C00A85">
      <w:pPr>
        <w:pStyle w:val="Style1"/>
      </w:pPr>
      <w:r w:rsidRPr="00D03F93">
        <w:t xml:space="preserve">The </w:t>
      </w:r>
      <w:r w:rsidR="00FB2C40" w:rsidRPr="00D03F93">
        <w:t xml:space="preserve">Draft Guidelines </w:t>
      </w:r>
      <w:r w:rsidRPr="00D03F93">
        <w:t>also include several further evolutions, such as: the introduction of a taxonomy of efficiency categories, including a concept of dynamic efficiencies whereby changes in the merged entity</w:t>
      </w:r>
      <w:r w:rsidR="002D7F99">
        <w:t>’</w:t>
      </w:r>
      <w:r w:rsidRPr="00D03F93">
        <w:t>s ability and incentives to invest and innovate may in themselves constitute cognisable efficiency gains, including gains capable of materialising over a longer time horizon, the recognition of non-price efficiency gains such as sustainability and resilience, the acknowledgment that benefits may be taken into account even where they are partly out-of-market or accrue collectively to a broader set of stakeholders, and useful clarifications on how efficiency gains may be weighed against competitive harm across different parameters of competition.</w:t>
      </w:r>
    </w:p>
    <w:p w14:paraId="3A930A8E" w14:textId="1B370CE5" w:rsidR="00C00A85" w:rsidRPr="00D03F93" w:rsidRDefault="00C00A85">
      <w:pPr>
        <w:pStyle w:val="Style1"/>
      </w:pPr>
      <w:r w:rsidRPr="00D03F93">
        <w:t>Taken together, these evolutions signal that the Commission has taken into account the feedback from practitioners, academics and associations such as the APDC who, over many years, have argued that the existing framework made it virtually impossible for efficiencies to play any meaningful role in merger review, with the result that no merger has ever been cleared on that basis.</w:t>
      </w:r>
    </w:p>
    <w:p w14:paraId="057269FC" w14:textId="7B822567" w:rsidR="00C00A85" w:rsidRPr="00D03F93" w:rsidRDefault="00C00A85">
      <w:pPr>
        <w:pStyle w:val="Style1"/>
      </w:pPr>
      <w:r w:rsidRPr="00D03F93">
        <w:t xml:space="preserve">That said, the </w:t>
      </w:r>
      <w:r w:rsidR="006E51B0" w:rsidRPr="00D03F93">
        <w:t xml:space="preserve">Draft Guidelines </w:t>
      </w:r>
      <w:r w:rsidRPr="00D03F93">
        <w:t xml:space="preserve">leave </w:t>
      </w:r>
      <w:proofErr w:type="gramStart"/>
      <w:r w:rsidRPr="00D03F93">
        <w:t>a number of</w:t>
      </w:r>
      <w:proofErr w:type="gramEnd"/>
      <w:r w:rsidRPr="00D03F93">
        <w:t xml:space="preserve"> important questions either unanswered or insufficiently addressed. The APDC</w:t>
      </w:r>
      <w:r w:rsidR="002D7F99">
        <w:t>’</w:t>
      </w:r>
      <w:r w:rsidRPr="00D03F93">
        <w:t>s detailed comments on these and other specific points are set out in the sections that follow.</w:t>
      </w:r>
    </w:p>
    <w:p w14:paraId="1158A76A" w14:textId="54B5797A" w:rsidR="00C00A85" w:rsidRPr="00D03F93" w:rsidRDefault="00C00A85" w:rsidP="00B51918">
      <w:pPr>
        <w:pStyle w:val="Style1"/>
      </w:pPr>
      <w:r w:rsidRPr="00D03F93">
        <w:t xml:space="preserve">Beyond the text itself, however, the APDC wishes to emphasize a more fundamental concern. The </w:t>
      </w:r>
      <w:r w:rsidR="003F01D5" w:rsidRPr="00D03F93">
        <w:t xml:space="preserve">Draft Guidelines </w:t>
      </w:r>
      <w:r w:rsidRPr="00D03F93">
        <w:t>confer on the Commission</w:t>
      </w:r>
      <w:r w:rsidR="002D7F99">
        <w:t>’</w:t>
      </w:r>
      <w:r w:rsidRPr="00D03F93">
        <w:t>s services considerable discretion in the assessment of efficiencies. In the APDC</w:t>
      </w:r>
      <w:r w:rsidR="002D7F99">
        <w:t>’</w:t>
      </w:r>
      <w:r w:rsidRPr="00D03F93">
        <w:t xml:space="preserve">s view, the risk is that this discretion, if not exercised with genuine openness, will simply perpetuate the </w:t>
      </w:r>
      <w:r w:rsidRPr="00D03F93">
        <w:rPr>
          <w:i/>
          <w:iCs/>
        </w:rPr>
        <w:t>status quo</w:t>
      </w:r>
      <w:r w:rsidRPr="00D03F93">
        <w:t xml:space="preserve"> in practice. </w:t>
      </w:r>
      <w:r w:rsidR="00BE790B" w:rsidRPr="00D03F93">
        <w:t xml:space="preserve">Final </w:t>
      </w:r>
      <w:r w:rsidRPr="00D03F93">
        <w:t xml:space="preserve">Guidelines that represent a genuine step forward are a necessary but not sufficient condition for change: what matters equally is the </w:t>
      </w:r>
      <w:proofErr w:type="gramStart"/>
      <w:r w:rsidRPr="00D03F93">
        <w:t>manner in which</w:t>
      </w:r>
      <w:proofErr w:type="gramEnd"/>
      <w:r w:rsidRPr="00D03F93">
        <w:t xml:space="preserve"> those guidelines are applied on a case-by-case basis. The APDC therefore calls on the Commission to ensure that the evolution reflected in </w:t>
      </w:r>
      <w:r w:rsidR="00D7655C" w:rsidRPr="00D03F93">
        <w:t>Final Guidelines</w:t>
      </w:r>
      <w:r w:rsidR="00D7655C" w:rsidRPr="00D03F93" w:rsidDel="00D7655C">
        <w:t xml:space="preserve"> </w:t>
      </w:r>
      <w:r w:rsidRPr="00D03F93">
        <w:t>translates into tangible and lasting changes in the conduct of merger review.</w:t>
      </w:r>
    </w:p>
    <w:p w14:paraId="498FA35F" w14:textId="756072C7" w:rsidR="00C00A85" w:rsidRPr="00D03F93" w:rsidRDefault="00C23302" w:rsidP="00BB75EE">
      <w:pPr>
        <w:pStyle w:val="Style1"/>
      </w:pPr>
      <w:r w:rsidRPr="00D03F93">
        <w:t xml:space="preserve">The </w:t>
      </w:r>
      <w:r w:rsidR="00EF1271" w:rsidRPr="00D03F93">
        <w:t>developments outlined below encompass both direct</w:t>
      </w:r>
      <w:r w:rsidR="00624410" w:rsidRPr="00D03F93">
        <w:t xml:space="preserve"> efficiencies and dynamic efficiencies.</w:t>
      </w:r>
    </w:p>
    <w:p w14:paraId="30D56AF9" w14:textId="6848E586" w:rsidR="00391839" w:rsidRPr="00D03F93" w:rsidRDefault="00391839" w:rsidP="006340E6">
      <w:pPr>
        <w:pStyle w:val="Firm5L2"/>
      </w:pPr>
      <w:r w:rsidRPr="00D03F93">
        <w:t>Taxonomy of direct synergies</w:t>
      </w:r>
    </w:p>
    <w:p w14:paraId="0675997E" w14:textId="5BEB4747" w:rsidR="00391839" w:rsidRPr="00D03F93" w:rsidRDefault="004A0D87" w:rsidP="000506D9">
      <w:pPr>
        <w:pStyle w:val="Style1"/>
      </w:pPr>
      <w:r w:rsidRPr="00D03F93">
        <w:t>As outlined in the introduction, the APDC welcomes the Commission</w:t>
      </w:r>
      <w:r w:rsidR="002D7F99">
        <w:t>’</w:t>
      </w:r>
      <w:r w:rsidRPr="00D03F93">
        <w:t xml:space="preserve">s initiative to propose examples of efficiencies. As indicated in the </w:t>
      </w:r>
      <w:r w:rsidR="003F01D5" w:rsidRPr="00D03F93">
        <w:t>Draft Guidelines</w:t>
      </w:r>
      <w:r w:rsidRPr="00D03F93">
        <w:t xml:space="preserve">, the APDC </w:t>
      </w:r>
      <w:r w:rsidRPr="00D03F93">
        <w:lastRenderedPageBreak/>
        <w:t xml:space="preserve">understands that the categories of efficiencies set out therein are not intended to be exhaustive and constitute illustrative examples only. The APDC therefore understands that the Commission remains open to consider other types of efficiencies not explicitly mentioned in Sections 1.1 and 2.1 of the </w:t>
      </w:r>
      <w:r w:rsidR="00763039" w:rsidRPr="00D03F93">
        <w:t>Draft Guidelines</w:t>
      </w:r>
      <w:r w:rsidRPr="00D03F93">
        <w:t xml:space="preserve">. </w:t>
      </w:r>
    </w:p>
    <w:p w14:paraId="688E31BD" w14:textId="730F9E7F" w:rsidR="00391839" w:rsidRPr="00D03F93" w:rsidRDefault="00391839" w:rsidP="006340E6">
      <w:pPr>
        <w:pStyle w:val="Firm5L2"/>
      </w:pPr>
      <w:r w:rsidRPr="00D03F93">
        <w:t>Verifiability</w:t>
      </w:r>
    </w:p>
    <w:p w14:paraId="0C08EC64" w14:textId="4DAC11A5" w:rsidR="0048547C" w:rsidRPr="00D03F93" w:rsidRDefault="0048547C" w:rsidP="0048547C">
      <w:pPr>
        <w:pStyle w:val="Style1"/>
      </w:pPr>
      <w:r w:rsidRPr="00D03F93">
        <w:t xml:space="preserve">The </w:t>
      </w:r>
      <w:r w:rsidR="00763039" w:rsidRPr="00D03F93">
        <w:t xml:space="preserve">Draft Guidelines </w:t>
      </w:r>
      <w:r w:rsidRPr="00D03F93">
        <w:t xml:space="preserve">provide that </w:t>
      </w:r>
      <w:r w:rsidR="002D7F99">
        <w:t>“</w:t>
      </w:r>
      <w:r w:rsidRPr="00D03F93">
        <w:rPr>
          <w:i/>
          <w:iCs/>
        </w:rPr>
        <w:t>[e]</w:t>
      </w:r>
      <w:proofErr w:type="spellStart"/>
      <w:r w:rsidRPr="00D03F93">
        <w:rPr>
          <w:i/>
          <w:iCs/>
        </w:rPr>
        <w:t>fficiencies</w:t>
      </w:r>
      <w:proofErr w:type="spellEnd"/>
      <w:r w:rsidRPr="00D03F93">
        <w:rPr>
          <w:i/>
          <w:iCs/>
        </w:rPr>
        <w:t xml:space="preserve"> have to be verifiable to allow the Commission to assess whether they are likely to materialize</w:t>
      </w:r>
      <w:r w:rsidR="002D7F99">
        <w:t>”</w:t>
      </w:r>
      <w:r w:rsidRPr="00D03F93">
        <w:t xml:space="preserve">. </w:t>
      </w:r>
      <w:proofErr w:type="gramStart"/>
      <w:r w:rsidRPr="00D03F93">
        <w:t>In particular, efficiencies</w:t>
      </w:r>
      <w:proofErr w:type="gramEnd"/>
      <w:r w:rsidRPr="00D03F93">
        <w:t xml:space="preserve"> must be timely (</w:t>
      </w:r>
      <w:r w:rsidRPr="00D03F93">
        <w:fldChar w:fldCharType="begin"/>
      </w:r>
      <w:r w:rsidRPr="00D03F93">
        <w:instrText xml:space="preserve"> REF _Ref231810618 \r \h  \* MERGEFORMAT </w:instrText>
      </w:r>
      <w:r w:rsidRPr="00D03F93">
        <w:fldChar w:fldCharType="separate"/>
      </w:r>
      <w:r w:rsidR="00BA3946">
        <w:rPr>
          <w:cs/>
        </w:rPr>
        <w:t>‎</w:t>
      </w:r>
      <w:r w:rsidR="00BA3946">
        <w:t>4.2.1</w:t>
      </w:r>
      <w:r w:rsidRPr="00D03F93">
        <w:fldChar w:fldCharType="end"/>
      </w:r>
      <w:r w:rsidRPr="00D03F93">
        <w:t>), substantial enough to counteract the alleged anticompetitive effects (</w:t>
      </w:r>
      <w:r w:rsidRPr="00D03F93">
        <w:fldChar w:fldCharType="begin"/>
      </w:r>
      <w:r w:rsidRPr="00D03F93">
        <w:instrText xml:space="preserve"> REF _Ref231814480 \r \h  \* MERGEFORMAT </w:instrText>
      </w:r>
      <w:r w:rsidRPr="00D03F93">
        <w:fldChar w:fldCharType="separate"/>
      </w:r>
      <w:r w:rsidR="00BA3946">
        <w:rPr>
          <w:cs/>
        </w:rPr>
        <w:t>‎</w:t>
      </w:r>
      <w:r w:rsidR="00BA3946">
        <w:t>4.2.2</w:t>
      </w:r>
      <w:r w:rsidRPr="00D03F93">
        <w:fldChar w:fldCharType="end"/>
      </w:r>
      <w:r w:rsidRPr="00D03F93">
        <w:t>), and be supported by a sufficiently cogent and consistent body of evidence (</w:t>
      </w:r>
      <w:r w:rsidRPr="00D03F93">
        <w:fldChar w:fldCharType="begin"/>
      </w:r>
      <w:r w:rsidRPr="00D03F93">
        <w:instrText xml:space="preserve"> REF _Ref231814486 \r \h  \* MERGEFORMAT </w:instrText>
      </w:r>
      <w:r w:rsidRPr="00D03F93">
        <w:fldChar w:fldCharType="separate"/>
      </w:r>
      <w:r w:rsidR="00BA3946">
        <w:rPr>
          <w:cs/>
        </w:rPr>
        <w:t>‎</w:t>
      </w:r>
      <w:r w:rsidR="00BA3946">
        <w:t>4.2.3</w:t>
      </w:r>
      <w:r w:rsidRPr="00D03F93">
        <w:fldChar w:fldCharType="end"/>
      </w:r>
      <w:r w:rsidRPr="00D03F93">
        <w:t>).</w:t>
      </w:r>
      <w:r w:rsidR="00763039" w:rsidRPr="00D03F93">
        <w:rPr>
          <w:rStyle w:val="FootnoteReference"/>
        </w:rPr>
        <w:footnoteReference w:id="13"/>
      </w:r>
    </w:p>
    <w:p w14:paraId="4D61607D" w14:textId="77777777" w:rsidR="0048547C" w:rsidRPr="00D03F93" w:rsidRDefault="0048547C" w:rsidP="006340E6">
      <w:pPr>
        <w:pStyle w:val="Firm5L3"/>
      </w:pPr>
      <w:bookmarkStart w:id="27" w:name="_Ref231810618"/>
      <w:r w:rsidRPr="00D03F93">
        <w:t xml:space="preserve">Appropriate timeframe for efficiencies </w:t>
      </w:r>
      <w:bookmarkEnd w:id="27"/>
    </w:p>
    <w:p w14:paraId="2BBF830A" w14:textId="5D2DB7B6" w:rsidR="0048547C" w:rsidRPr="00D03F93" w:rsidRDefault="0048547C" w:rsidP="009765FF">
      <w:pPr>
        <w:pStyle w:val="Style1"/>
      </w:pPr>
      <w:r w:rsidRPr="00D03F93">
        <w:t>The APDC welcomes the Commission</w:t>
      </w:r>
      <w:r w:rsidR="002D7F99">
        <w:t>’</w:t>
      </w:r>
      <w:r w:rsidRPr="00D03F93">
        <w:t xml:space="preserve">s position, as set out in the </w:t>
      </w:r>
      <w:r w:rsidR="00F84370" w:rsidRPr="00D03F93">
        <w:t>Draft Guidelines</w:t>
      </w:r>
      <w:r w:rsidRPr="00D03F93">
        <w:t>, not to impose a fixed temporal ceiling for the assessment of efficiency gains. This approach is both pragmatic and economically sound, as efficiency effects, and in particular dynamic efficiencies, may materialise over long-term horizons that cannot meaningfully be captured within a rigid temporal framework.</w:t>
      </w:r>
    </w:p>
    <w:p w14:paraId="6D12D220" w14:textId="4D068916" w:rsidR="0048547C" w:rsidRPr="00D03F93" w:rsidRDefault="0048547C" w:rsidP="009765FF">
      <w:pPr>
        <w:pStyle w:val="Style1"/>
      </w:pPr>
      <w:r w:rsidRPr="00D03F93">
        <w:t xml:space="preserve">The APDC notes, however, that notwithstanding this welcome stance, the </w:t>
      </w:r>
      <w:r w:rsidR="00AA65B2" w:rsidRPr="00D03F93">
        <w:t xml:space="preserve">Draft </w:t>
      </w:r>
      <w:r w:rsidRPr="00D03F93">
        <w:t xml:space="preserve">Guidelines nonetheless retain a short temporal perspective that appears to sit in tension with this. In particular, the </w:t>
      </w:r>
      <w:r w:rsidR="00AA65B2" w:rsidRPr="00D03F93">
        <w:t xml:space="preserve">Draft </w:t>
      </w:r>
      <w:r w:rsidRPr="00D03F93">
        <w:t xml:space="preserve">Guidelines state that efficiencies must be </w:t>
      </w:r>
      <w:r w:rsidR="002D7F99">
        <w:t>“</w:t>
      </w:r>
      <w:r w:rsidRPr="00D03F93">
        <w:rPr>
          <w:i/>
          <w:iCs/>
        </w:rPr>
        <w:t>timely</w:t>
      </w:r>
      <w:r w:rsidR="002D7F99">
        <w:t>”</w:t>
      </w:r>
      <w:r w:rsidRPr="00D03F93">
        <w:t xml:space="preserve">, specifying that direct efficiencies should </w:t>
      </w:r>
      <w:r w:rsidR="002D7F99">
        <w:t>“</w:t>
      </w:r>
      <w:r w:rsidRPr="00D03F93">
        <w:rPr>
          <w:i/>
          <w:iCs/>
        </w:rPr>
        <w:t>in principle occur without delay</w:t>
      </w:r>
      <w:r w:rsidR="002D7F99">
        <w:t>”</w:t>
      </w:r>
      <w:r w:rsidRPr="00D03F93">
        <w:t xml:space="preserve"> and that dynamic efficiencies should materialise </w:t>
      </w:r>
      <w:r w:rsidR="002D7F99">
        <w:t>“</w:t>
      </w:r>
      <w:r w:rsidRPr="00D03F93">
        <w:rPr>
          <w:i/>
          <w:iCs/>
        </w:rPr>
        <w:t>shortly after closing</w:t>
      </w:r>
      <w:r w:rsidR="002D7F99">
        <w:t>”</w:t>
      </w:r>
      <w:r w:rsidRPr="00D03F93">
        <w:t>.</w:t>
      </w:r>
      <w:r w:rsidR="00476B9E" w:rsidRPr="00D03F93">
        <w:rPr>
          <w:rStyle w:val="FootnoteReference"/>
        </w:rPr>
        <w:footnoteReference w:id="14"/>
      </w:r>
    </w:p>
    <w:p w14:paraId="0613F802" w14:textId="69B96126" w:rsidR="0048547C" w:rsidRPr="00D03F93" w:rsidRDefault="0048547C" w:rsidP="009765FF">
      <w:pPr>
        <w:pStyle w:val="Style1"/>
      </w:pPr>
      <w:r w:rsidRPr="00D03F93">
        <w:t xml:space="preserve">The </w:t>
      </w:r>
      <w:r w:rsidR="00151642" w:rsidRPr="00D03F93">
        <w:t xml:space="preserve">Draft </w:t>
      </w:r>
      <w:r w:rsidRPr="00D03F93">
        <w:t>Guidelines acknowledge that the relevant time horizon may be longer for both types of efficiencies, and refer in this regard to a Commission decision that recognised a three</w:t>
      </w:r>
      <w:r w:rsidRPr="00D03F93">
        <w:noBreakHyphen/>
        <w:t>to</w:t>
      </w:r>
      <w:r w:rsidRPr="00D03F93">
        <w:noBreakHyphen/>
        <w:t>four</w:t>
      </w:r>
      <w:r w:rsidRPr="00D03F93">
        <w:noBreakHyphen/>
        <w:t>year timeframe.</w:t>
      </w:r>
      <w:r w:rsidR="00FA50DD" w:rsidRPr="00D03F93">
        <w:rPr>
          <w:rStyle w:val="FootnoteReference"/>
        </w:rPr>
        <w:footnoteReference w:id="15"/>
      </w:r>
      <w:r w:rsidR="00476B9E" w:rsidRPr="00D03F93">
        <w:t xml:space="preserve"> </w:t>
      </w:r>
      <w:r w:rsidRPr="00D03F93">
        <w:t>While the APDC welcomes this acknowledgment, it is mindful that the reference to a three‑to‑four‑year period could, in practice, be read as an implicit ceiling.</w:t>
      </w:r>
      <w:r w:rsidR="00505249" w:rsidRPr="00D03F93">
        <w:t xml:space="preserve"> </w:t>
      </w:r>
      <w:r w:rsidRPr="00D03F93">
        <w:t xml:space="preserve">The APDC accordingly calls on the Commission to provide greater clarity and assurance in the </w:t>
      </w:r>
      <w:r w:rsidR="00FD7A23" w:rsidRPr="00D03F93">
        <w:t>Final</w:t>
      </w:r>
      <w:r w:rsidR="001E4764" w:rsidRPr="00D03F93">
        <w:t xml:space="preserve"> </w:t>
      </w:r>
      <w:r w:rsidRPr="00D03F93">
        <w:t xml:space="preserve">Guidelines that this reference to a three-to-four year timeframe should not be construed as an upper limit, and that the Commission retains full discretion to accept a longer time horizon where the specific circumstances of the case so warrant, including in particular the nature of the efficiencies claimed, the innovation and investment cycles of the relevant industry, and the structural characteristics of the market. </w:t>
      </w:r>
    </w:p>
    <w:p w14:paraId="471E2B3C" w14:textId="6B556DD5" w:rsidR="0048547C" w:rsidRPr="00D03F93" w:rsidRDefault="0048547C" w:rsidP="009765FF">
      <w:pPr>
        <w:pStyle w:val="Style1"/>
      </w:pPr>
      <w:r w:rsidRPr="00D03F93">
        <w:t xml:space="preserve">In this regard, the APDC recalls that efficiency effects, and in particular dynamic efficiencies, may by their very nature materialise over significantly longer horizons. The most transformative and welfare-enhancing impacts of dynamic efficiencies frequently arise in contexts of disruptive innovation, where the relevant time horizon is structurally longer. For example, in the pharmaceutical sector, the development of a </w:t>
      </w:r>
      <w:r w:rsidRPr="00D03F93">
        <w:lastRenderedPageBreak/>
        <w:t>vaccine can typically span ten to fifteen years from early</w:t>
      </w:r>
      <w:r w:rsidRPr="00D03F93">
        <w:noBreakHyphen/>
        <w:t>stage research to regulatory approval.</w:t>
      </w:r>
    </w:p>
    <w:p w14:paraId="6B6D73B6" w14:textId="77777777" w:rsidR="0048547C" w:rsidRPr="00D03F93" w:rsidRDefault="0048547C" w:rsidP="006340E6">
      <w:pPr>
        <w:pStyle w:val="Firm5L3"/>
      </w:pPr>
      <w:bookmarkStart w:id="28" w:name="_Ref231814480"/>
      <w:r w:rsidRPr="00D03F93">
        <w:t>Substantiality of efficiencies</w:t>
      </w:r>
      <w:bookmarkEnd w:id="28"/>
    </w:p>
    <w:p w14:paraId="653FE831" w14:textId="464E191C" w:rsidR="0048547C" w:rsidRPr="00D03F93" w:rsidRDefault="0048547C">
      <w:pPr>
        <w:pStyle w:val="Style1"/>
      </w:pPr>
      <w:r w:rsidRPr="00D03F93">
        <w:t xml:space="preserve">The APDC endorses the </w:t>
      </w:r>
      <w:r w:rsidR="00FF1554" w:rsidRPr="00D03F93">
        <w:t xml:space="preserve">Draft </w:t>
      </w:r>
      <w:r w:rsidRPr="00D03F93">
        <w:t>Guidelines</w:t>
      </w:r>
      <w:r w:rsidR="002D7F99">
        <w:t>’</w:t>
      </w:r>
      <w:r w:rsidRPr="00D03F93">
        <w:t xml:space="preserve"> choice to keep the requirement that efficiencies be </w:t>
      </w:r>
      <w:r w:rsidR="002D7F99">
        <w:t>“</w:t>
      </w:r>
      <w:r w:rsidRPr="00D03F93">
        <w:rPr>
          <w:i/>
          <w:iCs/>
        </w:rPr>
        <w:t>substantial enough to counteract a merger</w:t>
      </w:r>
      <w:r w:rsidR="002D7F99">
        <w:rPr>
          <w:i/>
          <w:iCs/>
        </w:rPr>
        <w:t>’</w:t>
      </w:r>
      <w:r w:rsidRPr="00D03F93">
        <w:rPr>
          <w:i/>
          <w:iCs/>
        </w:rPr>
        <w:t>s adverse effects on competition</w:t>
      </w:r>
      <w:r w:rsidR="002D7F99">
        <w:t>”</w:t>
      </w:r>
      <w:r w:rsidRPr="00D03F93">
        <w:t xml:space="preserve"> sufficiently broad and open-ended.</w:t>
      </w:r>
      <w:r w:rsidR="00476B9E" w:rsidRPr="00D03F93">
        <w:rPr>
          <w:rStyle w:val="FootnoteReference"/>
        </w:rPr>
        <w:footnoteReference w:id="16"/>
      </w:r>
      <w:r w:rsidRPr="00D03F93">
        <w:t xml:space="preserve"> Given the inherently case-specific nature of efficiency assessments, a rigid framework would not be appropriate. Overly prescriptive guidance would risk tying the Commission</w:t>
      </w:r>
      <w:r w:rsidR="002D7F99">
        <w:t>’</w:t>
      </w:r>
      <w:r w:rsidRPr="00D03F93">
        <w:t xml:space="preserve">s hands to </w:t>
      </w:r>
      <w:proofErr w:type="gramStart"/>
      <w:r w:rsidRPr="00D03F93">
        <w:t>particular methodologies</w:t>
      </w:r>
      <w:proofErr w:type="gramEnd"/>
      <w:r w:rsidRPr="00D03F93">
        <w:t xml:space="preserve"> and unduly limiting its discretion to tailor its assessment to the specific facts of each case. Ultimately, however, the critical question is how the Commission will choose to apply this criterion in practice, </w:t>
      </w:r>
      <w:proofErr w:type="gramStart"/>
      <w:r w:rsidRPr="00D03F93">
        <w:t>in order to</w:t>
      </w:r>
      <w:proofErr w:type="gramEnd"/>
      <w:r w:rsidRPr="00D03F93">
        <w:t xml:space="preserve"> give genuine and meaningful weight to efficiency claims, without subjecting them to an artificially high threshold that would deprive those claims of any practical effect.</w:t>
      </w:r>
    </w:p>
    <w:p w14:paraId="5FBB8CBF" w14:textId="77777777" w:rsidR="0048547C" w:rsidRPr="00D03F93" w:rsidRDefault="0048547C" w:rsidP="006340E6">
      <w:pPr>
        <w:pStyle w:val="Firm5L3"/>
      </w:pPr>
      <w:bookmarkStart w:id="29" w:name="_Ref231814486"/>
      <w:r w:rsidRPr="00D03F93">
        <w:t>Evidentiary standard applicable to efficiency claims</w:t>
      </w:r>
      <w:bookmarkEnd w:id="29"/>
    </w:p>
    <w:p w14:paraId="39135946" w14:textId="77777777" w:rsidR="0048547C" w:rsidRPr="00D03F93" w:rsidRDefault="0048547C" w:rsidP="009765FF">
      <w:pPr>
        <w:pStyle w:val="Style1"/>
      </w:pPr>
      <w:r w:rsidRPr="00D03F93">
        <w:t xml:space="preserve">First, the APDC welcomes the introduction of a symmetry between the evidentiary standard applicable to efficiency claims and that required to establish anticompetitive effects. </w:t>
      </w:r>
    </w:p>
    <w:p w14:paraId="36549CC2" w14:textId="0FDB19F9" w:rsidR="0048547C" w:rsidRPr="00D03F93" w:rsidRDefault="0048547C" w:rsidP="009765FF">
      <w:pPr>
        <w:pStyle w:val="Style1"/>
      </w:pPr>
      <w:r w:rsidRPr="00D03F93">
        <w:t xml:space="preserve">The APDC regrets, however, that the </w:t>
      </w:r>
      <w:r w:rsidR="00F3299C" w:rsidRPr="00D03F93">
        <w:t xml:space="preserve">Draft </w:t>
      </w:r>
      <w:r w:rsidRPr="00D03F93">
        <w:t>Guidelines unequivocally place the burden of demonstrating efficiencies on the notifying parties.</w:t>
      </w:r>
      <w:r w:rsidR="00F3299C" w:rsidRPr="00D03F93">
        <w:rPr>
          <w:rStyle w:val="FootnoteReference"/>
        </w:rPr>
        <w:footnoteReference w:id="17"/>
      </w:r>
      <w:r w:rsidRPr="00D03F93">
        <w:t xml:space="preserve"> While it is generally appropriate for the notifying parties to </w:t>
      </w:r>
      <w:r w:rsidR="00501A17">
        <w:t xml:space="preserve">support </w:t>
      </w:r>
      <w:r w:rsidR="0067433C" w:rsidRPr="00D03F93">
        <w:t>their theory of benefits</w:t>
      </w:r>
      <w:r w:rsidRPr="00D03F93">
        <w:t>, an inflexible and systematic allocation of that burden</w:t>
      </w:r>
      <w:r w:rsidR="00981189" w:rsidRPr="00D03F93">
        <w:t xml:space="preserve"> on the Parties</w:t>
      </w:r>
      <w:r w:rsidRPr="00D03F93">
        <w:t xml:space="preserve"> regardless of the circumstances would be unduly rigid in practice.</w:t>
      </w:r>
    </w:p>
    <w:p w14:paraId="670E9F82" w14:textId="7A9A8BA3" w:rsidR="0048547C" w:rsidRPr="00D03F93" w:rsidRDefault="0048547C" w:rsidP="009765FF">
      <w:pPr>
        <w:pStyle w:val="Style1"/>
      </w:pPr>
      <w:bookmarkStart w:id="30" w:name="_Ref231826747"/>
      <w:r w:rsidRPr="00D03F93">
        <w:t xml:space="preserve">While the notifying parties may be better placed to assess and quantify certain categories of efficiencies (such as those arising from cost synergies), in other cases the Commission may be better positioned to do so (e.g., externalities directly generating cost decreases for consumers, or other externalities directly benefiting certain categories of stakeholders). The APDC therefore kindly invites the Commission to consider expressly providing in the </w:t>
      </w:r>
      <w:r w:rsidR="00E01547" w:rsidRPr="00D03F93">
        <w:t xml:space="preserve">Draft </w:t>
      </w:r>
      <w:r w:rsidRPr="00D03F93">
        <w:t>Guidelines specific cases where the Commission could support the burden of proof as well as in substantiating efficiency claims where circumstances so warrant, in line with its existing practice in gathering relevant information from third parties (e.g., competitors market data not available to the parties via a market test).</w:t>
      </w:r>
      <w:bookmarkEnd w:id="30"/>
    </w:p>
    <w:p w14:paraId="370A20AF" w14:textId="4EF38489" w:rsidR="0048547C" w:rsidRPr="00D03F93" w:rsidRDefault="0048547C" w:rsidP="009765FF">
      <w:pPr>
        <w:pStyle w:val="Style1"/>
      </w:pPr>
      <w:r w:rsidRPr="00D03F93">
        <w:t>Second, the APDC also welcomes the explicit clarification around the types of evidence that the Commission considers relevant, which gives greater certainty and predictability to stakeholders, and is therefore likely to encourage the merging parties to engage in efficiencies discussions with the Commission.</w:t>
      </w:r>
      <w:r w:rsidR="00E5424B" w:rsidRPr="00D03F93">
        <w:rPr>
          <w:rStyle w:val="FootnoteReference"/>
        </w:rPr>
        <w:footnoteReference w:id="18"/>
      </w:r>
    </w:p>
    <w:p w14:paraId="1A94A6FA" w14:textId="7BA1F830" w:rsidR="0048547C" w:rsidRPr="00D03F93" w:rsidRDefault="0048547C" w:rsidP="009765FF">
      <w:pPr>
        <w:pStyle w:val="Style1"/>
      </w:pPr>
      <w:r w:rsidRPr="00D03F93">
        <w:lastRenderedPageBreak/>
        <w:t xml:space="preserve">The </w:t>
      </w:r>
      <w:r w:rsidR="00D03D81" w:rsidRPr="00D03F93">
        <w:t xml:space="preserve">Draft </w:t>
      </w:r>
      <w:r w:rsidRPr="00D03F93">
        <w:t>Guidelines, however, give greater weight to studies by independent external experts prepared prior to the start of negotiations on the merger agreement.</w:t>
      </w:r>
      <w:r w:rsidR="004A66DE" w:rsidRPr="00D03F93">
        <w:rPr>
          <w:rStyle w:val="FootnoteReference"/>
        </w:rPr>
        <w:footnoteReference w:id="19"/>
      </w:r>
      <w:r w:rsidR="004A66DE" w:rsidRPr="00D03F93">
        <w:t xml:space="preserve"> </w:t>
      </w:r>
      <w:r w:rsidRPr="00D03F93">
        <w:t>In this respect, the APDC draws the Commission</w:t>
      </w:r>
      <w:r w:rsidR="002D7F99">
        <w:t>’</w:t>
      </w:r>
      <w:r w:rsidRPr="00D03F93">
        <w:t>s attention to the facts that:</w:t>
      </w:r>
    </w:p>
    <w:p w14:paraId="53D690A6" w14:textId="77777777" w:rsidR="0048547C" w:rsidRPr="00D03F93" w:rsidRDefault="0048547C" w:rsidP="006340E6">
      <w:pPr>
        <w:pStyle w:val="BulletsL2"/>
        <w:rPr>
          <w:rFonts w:eastAsia="SimSun"/>
        </w:rPr>
      </w:pPr>
      <w:r w:rsidRPr="00D03F93">
        <w:rPr>
          <w:rFonts w:eastAsia="SimSun"/>
        </w:rPr>
        <w:t>In practice, such studies are uncommon, if not virtually non‑existent, given their significant cost, the fact that they often require access to data from the other party that are typically obtained in the context of due diligence, and the fact that companies are unlikely to commission them in the absence of a concrete transaction plan.</w:t>
      </w:r>
    </w:p>
    <w:p w14:paraId="69780340" w14:textId="77777777" w:rsidR="0048547C" w:rsidRPr="00D03F93" w:rsidRDefault="0048547C" w:rsidP="006340E6">
      <w:pPr>
        <w:pStyle w:val="BulletsL2"/>
        <w:rPr>
          <w:rFonts w:eastAsia="SimSun"/>
        </w:rPr>
      </w:pPr>
      <w:r w:rsidRPr="00D03F93">
        <w:rPr>
          <w:rFonts w:eastAsia="SimSun"/>
        </w:rPr>
        <w:t xml:space="preserve">In addition, such studies tend to focus on the synergies expected by the merging parties themselves, rather than on the benefits likely to be passed on to consumers. </w:t>
      </w:r>
    </w:p>
    <w:p w14:paraId="3C218B03" w14:textId="77777777" w:rsidR="0048547C" w:rsidRPr="00D03F93" w:rsidRDefault="0048547C" w:rsidP="009765FF">
      <w:pPr>
        <w:pStyle w:val="Style1"/>
      </w:pPr>
      <w:r w:rsidRPr="00D03F93">
        <w:t xml:space="preserve">The APDC therefore invites the Commission not to treat this type of evidence as inherently more compelling. </w:t>
      </w:r>
    </w:p>
    <w:p w14:paraId="77432D6E" w14:textId="77777777" w:rsidR="00AB4BF2" w:rsidRPr="00D03F93" w:rsidRDefault="00AB4BF2" w:rsidP="00AB4BF2">
      <w:pPr>
        <w:pStyle w:val="Firm1L1"/>
      </w:pPr>
      <w:r w:rsidRPr="00D03F93">
        <w:t>Where doubt arises as to the verifiability of alleged efficiencies, in particular dynamic efficiency gains, which are inherently more uncertain and difficult to quantify, the Commission should seek to corroborate the evidence provided by the merging parties, including by using its own investigative tools when circumstances so require, for example by reference to market dynamics, the views of market participants, or prior examples of efficiencies that have materialised in the same or similar markets.</w:t>
      </w:r>
    </w:p>
    <w:p w14:paraId="296B14C7" w14:textId="0FBB4B24" w:rsidR="0048547C" w:rsidRPr="00D03F93" w:rsidRDefault="0048547C" w:rsidP="00BB75EE">
      <w:pPr>
        <w:pStyle w:val="Style1"/>
      </w:pPr>
      <w:r w:rsidRPr="00D03F93">
        <w:t>Another option for the Commission, where doubt arises as to the verifiability of alleged efficiencies, would be to require that those efficiencies, or, more precisely, the measures by which they are to be realized, be reflected in commitments offered by the merging parties as a condition of clearance. The APDC considers that, in this regard, it would be preferable to seek commitments by reference to the measures to be implemented to obtain the intended efficiencies rather than by reference to the expected outcome of such efficiencies, since the latter are inherently more uncertain and may be influenced by factors outside the parties</w:t>
      </w:r>
      <w:r w:rsidR="002D7F99">
        <w:t>’</w:t>
      </w:r>
      <w:r w:rsidRPr="00D03F93">
        <w:t xml:space="preserve"> control. The APDC notes that, </w:t>
      </w:r>
      <w:proofErr w:type="gramStart"/>
      <w:r w:rsidRPr="00D03F93">
        <w:t>in particular in</w:t>
      </w:r>
      <w:proofErr w:type="gramEnd"/>
      <w:r w:rsidRPr="00D03F93">
        <w:t xml:space="preserve"> the context of innovation-related efficiencies, as the Commission assesses anticompetitive effects by reference to their impact on the innovation process,</w:t>
      </w:r>
      <w:r w:rsidR="00161160" w:rsidRPr="00D03F93">
        <w:rPr>
          <w:rStyle w:val="FootnoteReference"/>
        </w:rPr>
        <w:footnoteReference w:id="20"/>
      </w:r>
      <w:r w:rsidRPr="00D03F93">
        <w:t xml:space="preserve"> efficiencies in the form of innovation benefits should be similarly evaluated based on their intended effects on the innovation process, without necessarily requiring proof of specific future outcomes. This is consistent with the broader logic allegedly sought by the Commission in the </w:t>
      </w:r>
      <w:r w:rsidR="00751BD7" w:rsidRPr="00D03F93">
        <w:t>Draft</w:t>
      </w:r>
      <w:r w:rsidRPr="00D03F93">
        <w:t xml:space="preserve"> Guidelines, whereby symmetry should apply to the assessment of both harms and benefits.</w:t>
      </w:r>
    </w:p>
    <w:p w14:paraId="3BE65631" w14:textId="6F443535" w:rsidR="00391839" w:rsidRPr="00D03F93" w:rsidRDefault="00391839" w:rsidP="006340E6">
      <w:pPr>
        <w:pStyle w:val="Firm5L2"/>
      </w:pPr>
      <w:r w:rsidRPr="00D03F93">
        <w:t>Merger specificity</w:t>
      </w:r>
    </w:p>
    <w:p w14:paraId="2FB6AE46" w14:textId="77777777" w:rsidR="00AB4BF2" w:rsidRPr="00D03F93" w:rsidRDefault="00AB4BF2" w:rsidP="00AB4BF2">
      <w:pPr>
        <w:pStyle w:val="Firm1L1"/>
        <w:rPr>
          <w:kern w:val="2"/>
          <w:szCs w:val="22"/>
          <w:lang w:eastAsia="zh-CN"/>
          <w14:ligatures w14:val="standardContextual"/>
        </w:rPr>
      </w:pPr>
      <w:r w:rsidRPr="00D03F93">
        <w:t xml:space="preserve">The APDC considers that the notion of merger-specificity is one of the main reasons why transactions are never authorised </w:t>
      </w:r>
      <w:proofErr w:type="gramStart"/>
      <w:r w:rsidRPr="00D03F93">
        <w:t>on the basis of</w:t>
      </w:r>
      <w:proofErr w:type="gramEnd"/>
      <w:r w:rsidRPr="00D03F93">
        <w:t xml:space="preserve"> efficiencies.</w:t>
      </w:r>
    </w:p>
    <w:p w14:paraId="1D4EEB78" w14:textId="381E9853" w:rsidR="00AB4BF2" w:rsidRPr="00D03F93" w:rsidRDefault="00AB4BF2" w:rsidP="00AB4BF2">
      <w:pPr>
        <w:pStyle w:val="Firm1L1"/>
        <w:rPr>
          <w:kern w:val="2"/>
          <w:szCs w:val="22"/>
          <w:lang w:eastAsia="zh-CN"/>
          <w14:ligatures w14:val="standardContextual"/>
        </w:rPr>
      </w:pPr>
      <w:r w:rsidRPr="00D03F93">
        <w:t xml:space="preserve">In the Draft Guidelines, the Commission indicated that merging parties should be able to demonstrate that </w:t>
      </w:r>
      <w:r w:rsidR="002D7F99">
        <w:t>“</w:t>
      </w:r>
      <w:r w:rsidRPr="00D03F93">
        <w:t xml:space="preserve">claimed efficiencies would only occur because of the merger and </w:t>
      </w:r>
      <w:r w:rsidRPr="00D03F93">
        <w:lastRenderedPageBreak/>
        <w:t>could not be achieved to a similar extent by either firm on a standalone basis or by less anticompetitive arrangements between the merging parties or other market participants</w:t>
      </w:r>
      <w:r w:rsidR="002D7F99">
        <w:t>”</w:t>
      </w:r>
      <w:r w:rsidRPr="00D03F93">
        <w:t xml:space="preserve"> (para. 310).</w:t>
      </w:r>
    </w:p>
    <w:p w14:paraId="4B7A7C38" w14:textId="014C1573" w:rsidR="00921EB4" w:rsidRPr="00D03F93" w:rsidRDefault="0000093B" w:rsidP="00921EB4">
      <w:pPr>
        <w:pStyle w:val="Style1"/>
        <w:rPr>
          <w:rFonts w:cs="Arial"/>
        </w:rPr>
      </w:pPr>
      <w:r w:rsidRPr="00D03F93">
        <w:rPr>
          <w:rFonts w:cs="Arial"/>
        </w:rPr>
        <w:t>T</w:t>
      </w:r>
      <w:r w:rsidR="00921EB4" w:rsidRPr="00D03F93">
        <w:rPr>
          <w:rFonts w:cs="Arial"/>
        </w:rPr>
        <w:t xml:space="preserve">he APDC agrees with the first part of the test, insofar as it consists of determining whether the contemplated efficiencies could be achieved to a similar extent </w:t>
      </w:r>
      <w:r w:rsidR="002D7F99">
        <w:rPr>
          <w:rFonts w:cs="Arial"/>
        </w:rPr>
        <w:t>“</w:t>
      </w:r>
      <w:r w:rsidR="00921EB4" w:rsidRPr="00D03F93">
        <w:rPr>
          <w:rFonts w:cs="Arial"/>
          <w:i/>
          <w:iCs/>
        </w:rPr>
        <w:t>by either firm on a standalone basis</w:t>
      </w:r>
      <w:r w:rsidR="002D7F99">
        <w:rPr>
          <w:rFonts w:cs="Arial"/>
        </w:rPr>
        <w:t>”</w:t>
      </w:r>
      <w:r w:rsidR="00921EB4" w:rsidRPr="00D03F93">
        <w:rPr>
          <w:rFonts w:cs="Arial"/>
        </w:rPr>
        <w:t>. This approach is consistent with the APDC</w:t>
      </w:r>
      <w:r w:rsidR="002D7F99">
        <w:rPr>
          <w:rFonts w:cs="Arial"/>
        </w:rPr>
        <w:t>’</w:t>
      </w:r>
      <w:r w:rsidR="00921EB4" w:rsidRPr="00D03F93">
        <w:rPr>
          <w:rFonts w:cs="Arial"/>
        </w:rPr>
        <w:t>s response to question F.8 of the Commission</w:t>
      </w:r>
      <w:r w:rsidR="002D7F99">
        <w:rPr>
          <w:rFonts w:cs="Arial"/>
        </w:rPr>
        <w:t>’</w:t>
      </w:r>
      <w:r w:rsidR="00921EB4" w:rsidRPr="00D03F93">
        <w:rPr>
          <w:rFonts w:cs="Arial"/>
        </w:rPr>
        <w:t>s targeted consultation</w:t>
      </w:r>
      <w:r w:rsidR="000978CB" w:rsidRPr="00D03F93">
        <w:rPr>
          <w:rStyle w:val="FootnoteReference"/>
          <w:rFonts w:cs="Arial"/>
        </w:rPr>
        <w:footnoteReference w:id="21"/>
      </w:r>
      <w:r w:rsidR="00921EB4" w:rsidRPr="00D03F93">
        <w:rPr>
          <w:rFonts w:cs="Arial"/>
        </w:rPr>
        <w:t xml:space="preserve">, in which </w:t>
      </w:r>
      <w:r w:rsidR="004C4ADE" w:rsidRPr="00D03F93">
        <w:rPr>
          <w:rFonts w:cs="Arial"/>
        </w:rPr>
        <w:t xml:space="preserve">we </w:t>
      </w:r>
      <w:r w:rsidR="00921EB4" w:rsidRPr="00D03F93">
        <w:rPr>
          <w:rFonts w:cs="Arial"/>
        </w:rPr>
        <w:t xml:space="preserve">stated that </w:t>
      </w:r>
      <w:r w:rsidR="002D7F99">
        <w:rPr>
          <w:rFonts w:cs="Arial"/>
        </w:rPr>
        <w:t>“</w:t>
      </w:r>
      <w:r w:rsidR="00921EB4" w:rsidRPr="00D03F93">
        <w:rPr>
          <w:rFonts w:cs="Arial"/>
          <w:i/>
          <w:iCs/>
        </w:rPr>
        <w:t>the Commission could assess whether reaching the contemplated efficiencies would be impossible or more difficult without the operation by using a counterfactual scenario where the transaction does not take place</w:t>
      </w:r>
      <w:r w:rsidR="002D7F99">
        <w:rPr>
          <w:rFonts w:cs="Arial"/>
        </w:rPr>
        <w:t>”</w:t>
      </w:r>
      <w:r w:rsidR="00FC1377" w:rsidRPr="00D03F93">
        <w:rPr>
          <w:rFonts w:cs="Arial"/>
        </w:rPr>
        <w:t>.</w:t>
      </w:r>
      <w:r w:rsidR="00921EB4" w:rsidRPr="00D03F93">
        <w:rPr>
          <w:rFonts w:cs="Arial"/>
        </w:rPr>
        <w:t xml:space="preserve"> It is indeed legitimate not to </w:t>
      </w:r>
      <w:proofErr w:type="gramStart"/>
      <w:r w:rsidR="00921EB4" w:rsidRPr="00D03F93">
        <w:rPr>
          <w:rFonts w:cs="Arial"/>
        </w:rPr>
        <w:t>take into account</w:t>
      </w:r>
      <w:proofErr w:type="gramEnd"/>
      <w:r w:rsidR="00921EB4" w:rsidRPr="00D03F93">
        <w:rPr>
          <w:rFonts w:cs="Arial"/>
        </w:rPr>
        <w:t xml:space="preserve"> efficiencies that could be achieved by either merging party absent the transaction.</w:t>
      </w:r>
    </w:p>
    <w:p w14:paraId="34FC3C9F" w14:textId="4099EBB4" w:rsidR="00921EB4" w:rsidRPr="00D03F93" w:rsidRDefault="005376F1" w:rsidP="00921EB4">
      <w:pPr>
        <w:pStyle w:val="Style1"/>
        <w:rPr>
          <w:rFonts w:cs="Arial"/>
        </w:rPr>
      </w:pPr>
      <w:r w:rsidRPr="00D03F93">
        <w:rPr>
          <w:rFonts w:cs="Arial"/>
        </w:rPr>
        <w:t>H</w:t>
      </w:r>
      <w:r w:rsidR="00921EB4" w:rsidRPr="00D03F93">
        <w:rPr>
          <w:rFonts w:cs="Arial"/>
        </w:rPr>
        <w:t>owever, the APDC strongly disagrees with the second part of the test which consist</w:t>
      </w:r>
      <w:r w:rsidR="0020501B" w:rsidRPr="00D03F93">
        <w:rPr>
          <w:rFonts w:cs="Arial"/>
        </w:rPr>
        <w:t>s</w:t>
      </w:r>
      <w:r w:rsidR="00921EB4" w:rsidRPr="00D03F93">
        <w:rPr>
          <w:rFonts w:cs="Arial"/>
        </w:rPr>
        <w:t xml:space="preserve"> of determining whether the contemplated efficiencies could be achieved to a similar extent </w:t>
      </w:r>
      <w:r w:rsidR="002D7F99">
        <w:rPr>
          <w:rFonts w:cs="Arial"/>
        </w:rPr>
        <w:t>“</w:t>
      </w:r>
      <w:r w:rsidR="00921EB4" w:rsidRPr="00D03F93">
        <w:rPr>
          <w:rFonts w:cs="Arial"/>
          <w:i/>
          <w:iCs/>
        </w:rPr>
        <w:t>by less anticompetitive arrangements between the merging parties or other market participants</w:t>
      </w:r>
      <w:r w:rsidR="002D7F99">
        <w:rPr>
          <w:rFonts w:cs="Arial"/>
        </w:rPr>
        <w:t>”</w:t>
      </w:r>
      <w:r w:rsidR="00921EB4" w:rsidRPr="00D03F93">
        <w:rPr>
          <w:rFonts w:cs="Arial"/>
        </w:rPr>
        <w:t>.</w:t>
      </w:r>
      <w:r w:rsidR="003024D5" w:rsidRPr="00D03F93">
        <w:rPr>
          <w:rFonts w:cs="Arial"/>
        </w:rPr>
        <w:t xml:space="preserve"> </w:t>
      </w:r>
      <w:r w:rsidR="00921EB4" w:rsidRPr="00D03F93">
        <w:rPr>
          <w:rFonts w:cs="Arial"/>
        </w:rPr>
        <w:t xml:space="preserve">Relying on the assessment of hypothetical arrangements is questionable and introduces a double standard within the framework of the </w:t>
      </w:r>
      <w:r w:rsidR="00896C8F" w:rsidRPr="00D03F93">
        <w:t xml:space="preserve">Draft </w:t>
      </w:r>
      <w:r w:rsidR="00921EB4" w:rsidRPr="00D03F93">
        <w:rPr>
          <w:rFonts w:cs="Arial"/>
        </w:rPr>
        <w:t xml:space="preserve">Guidelines. </w:t>
      </w:r>
    </w:p>
    <w:p w14:paraId="449C8C39" w14:textId="3447C0B0" w:rsidR="00AB4BF2" w:rsidRPr="00D03F93" w:rsidRDefault="00AB4BF2" w:rsidP="00AB4BF2">
      <w:pPr>
        <w:pStyle w:val="Firm1L1"/>
        <w:rPr>
          <w:rFonts w:cs="Arial"/>
        </w:rPr>
      </w:pPr>
      <w:r w:rsidRPr="00D03F93">
        <w:t xml:space="preserve">Indeed, the APDC recalls that, at para. 304 of the Draft Guidelines, the Commission stated that </w:t>
      </w:r>
      <w:r w:rsidR="002D7F99">
        <w:t>“</w:t>
      </w:r>
      <w:r w:rsidRPr="00D03F93">
        <w:t>[t]</w:t>
      </w:r>
      <w:r w:rsidRPr="00D03F93">
        <w:rPr>
          <w:i/>
          <w:iCs/>
        </w:rPr>
        <w:t xml:space="preserve">he efficiency claims must be supported by a sufficiently cogent and consistent body of evidence, </w:t>
      </w:r>
      <w:r w:rsidRPr="00D03F93">
        <w:rPr>
          <w:b/>
          <w:bCs/>
          <w:i/>
          <w:iCs/>
        </w:rPr>
        <w:t>to the same evidentiary standard</w:t>
      </w:r>
      <w:r w:rsidRPr="00D03F93">
        <w:rPr>
          <w:i/>
          <w:iCs/>
        </w:rPr>
        <w:t xml:space="preserve"> as the anticompetitive effects</w:t>
      </w:r>
      <w:r w:rsidR="002D7F99">
        <w:t>”</w:t>
      </w:r>
      <w:r w:rsidR="00E61977">
        <w:t>.</w:t>
      </w:r>
      <w:r w:rsidRPr="00D03F93">
        <w:rPr>
          <w:rStyle w:val="FootnoteReference"/>
        </w:rPr>
        <w:t xml:space="preserve"> </w:t>
      </w:r>
      <w:bookmarkStart w:id="31" w:name="_ftnref26"/>
      <w:r w:rsidRPr="00E61977">
        <w:rPr>
          <w:rStyle w:val="FootnoteReference"/>
        </w:rPr>
        <w:fldChar w:fldCharType="begin"/>
      </w:r>
      <w:r w:rsidRPr="00E61977">
        <w:rPr>
          <w:rStyle w:val="FootnoteReference"/>
        </w:rPr>
        <w:instrText>HYPERLINK "" \l "_ftn26" \o ""</w:instrText>
      </w:r>
      <w:r w:rsidRPr="00E61977">
        <w:rPr>
          <w:rStyle w:val="FootnoteReference"/>
        </w:rPr>
      </w:r>
      <w:r w:rsidRPr="00E61977">
        <w:rPr>
          <w:rStyle w:val="FootnoteReference"/>
        </w:rPr>
        <w:fldChar w:fldCharType="separate"/>
      </w:r>
      <w:r w:rsidRPr="006340E6">
        <w:rPr>
          <w:rStyle w:val="FootnoteReference"/>
          <w:color w:val="000000"/>
        </w:rPr>
        <w:t>26</w:t>
      </w:r>
      <w:r w:rsidRPr="00E61977">
        <w:rPr>
          <w:rStyle w:val="FootnoteReference"/>
        </w:rPr>
        <w:fldChar w:fldCharType="end"/>
      </w:r>
      <w:bookmarkEnd w:id="31"/>
      <w:r w:rsidRPr="00D03F93">
        <w:t xml:space="preserve"> However, by introducing a test to assess efficiencies not only against pre-transaction and post-transaction scenarios, but also against alternative hypothetical scenarios, the Commission imposes a more demanding evidentiary standard for efficiencies than for anticompetitive effects. When assessing anticompetitive effects, the Commission considers only the state of the market </w:t>
      </w:r>
      <w:r w:rsidR="005273B1" w:rsidRPr="00D03F93">
        <w:t xml:space="preserve">before </w:t>
      </w:r>
      <w:r w:rsidRPr="00D03F93">
        <w:t>and after the transaction, without examining whether alternative arrangements could have caused different anticompetitive effects. Requiring such a hypothetical counterfactual analysis for efficiencies, but not for anticompetitive effects, contradicts the principle that both efficiencies and anticompetitive effects should be assessed under the same standard of proof. Accordingly, the APDC considers that this asymmetry undermines the coherence of the assessment framework put forward by the Commission and creates an unjustified imbalance.</w:t>
      </w:r>
    </w:p>
    <w:p w14:paraId="7EF7A090" w14:textId="77777777" w:rsidR="00921EB4" w:rsidRPr="00D03F93" w:rsidRDefault="00921EB4" w:rsidP="00921EB4">
      <w:pPr>
        <w:pStyle w:val="Style1"/>
        <w:rPr>
          <w:rFonts w:cs="Arial"/>
        </w:rPr>
      </w:pPr>
      <w:r w:rsidRPr="00D03F93">
        <w:rPr>
          <w:rFonts w:cs="Arial"/>
        </w:rPr>
        <w:t xml:space="preserve">In addition, the APDC considers that this test risks shifting the focus from concrete evidence about the verifiability and benefits of efficiencies to an unreliable assessment of what the parties could have hypothetically done but did not even contemplate. </w:t>
      </w:r>
    </w:p>
    <w:p w14:paraId="7CD7B1D0" w14:textId="3FB7F50E" w:rsidR="00921EB4" w:rsidRPr="00D03F93" w:rsidRDefault="00921EB4" w:rsidP="00921EB4">
      <w:pPr>
        <w:pStyle w:val="Style1"/>
        <w:rPr>
          <w:rFonts w:cs="Arial"/>
        </w:rPr>
      </w:pPr>
      <w:r w:rsidRPr="00D03F93">
        <w:rPr>
          <w:rFonts w:cs="Arial"/>
        </w:rPr>
        <w:t>The APDC submits that undertakings are free to decide about the best way to achieve their economic objectives. Companies can choose their organi</w:t>
      </w:r>
      <w:r w:rsidR="0020424E">
        <w:rPr>
          <w:rFonts w:cs="Arial"/>
        </w:rPr>
        <w:t>s</w:t>
      </w:r>
      <w:r w:rsidRPr="00D03F93">
        <w:rPr>
          <w:rFonts w:cs="Arial"/>
        </w:rPr>
        <w:t xml:space="preserve">ational structure to create value. </w:t>
      </w:r>
      <w:proofErr w:type="gramStart"/>
      <w:r w:rsidRPr="00D03F93">
        <w:rPr>
          <w:rFonts w:cs="Arial"/>
        </w:rPr>
        <w:t>In particular, they</w:t>
      </w:r>
      <w:proofErr w:type="gramEnd"/>
      <w:r w:rsidRPr="00D03F93">
        <w:rPr>
          <w:rFonts w:cs="Arial"/>
        </w:rPr>
        <w:t xml:space="preserve"> are free to decide to pursue external or organic growth, and when pursuing external growth, select the structure that fits their strategic objectives and risk profile. Parties should not be compelled to justify their chosen deal </w:t>
      </w:r>
      <w:r w:rsidRPr="00D03F93">
        <w:rPr>
          <w:rFonts w:cs="Arial"/>
        </w:rPr>
        <w:lastRenderedPageBreak/>
        <w:t xml:space="preserve">structure solely based on efficiencies, as market players may legitimately pursue a broad range of objectives when deciding to merge. </w:t>
      </w:r>
    </w:p>
    <w:p w14:paraId="79CD825A" w14:textId="2D16CAEF" w:rsidR="00921EB4" w:rsidRPr="00D03F93" w:rsidRDefault="00921EB4" w:rsidP="00921EB4">
      <w:pPr>
        <w:pStyle w:val="Style1"/>
        <w:rPr>
          <w:rFonts w:cs="Arial"/>
        </w:rPr>
      </w:pPr>
      <w:r w:rsidRPr="00D03F93">
        <w:rPr>
          <w:rFonts w:cs="Arial"/>
        </w:rPr>
        <w:t xml:space="preserve">Accordingly, when companies make the decision to pursue external growth and when that </w:t>
      </w:r>
      <w:r w:rsidR="00AC43C1" w:rsidRPr="00D03F93">
        <w:rPr>
          <w:rFonts w:cs="Arial"/>
        </w:rPr>
        <w:t xml:space="preserve">transaction </w:t>
      </w:r>
      <w:r w:rsidRPr="00D03F93">
        <w:rPr>
          <w:rFonts w:cs="Arial"/>
        </w:rPr>
        <w:t>generates efficiencies, there should be no need to conduct a comparison with hypothetical situations or scenarios that the parties did not consider. The reasoning should be only based on situations that do exist (</w:t>
      </w:r>
      <w:r w:rsidRPr="00D03F93">
        <w:rPr>
          <w:rFonts w:cs="Arial"/>
          <w:i/>
          <w:iCs/>
        </w:rPr>
        <w:t>i.e</w:t>
      </w:r>
      <w:r w:rsidRPr="00D03F93">
        <w:rPr>
          <w:rFonts w:cs="Arial"/>
        </w:rPr>
        <w:t>., the pre-transaction situation) or could exist (</w:t>
      </w:r>
      <w:r w:rsidRPr="00D03F93">
        <w:rPr>
          <w:rFonts w:cs="Arial"/>
          <w:i/>
          <w:iCs/>
        </w:rPr>
        <w:t>i.e</w:t>
      </w:r>
      <w:r w:rsidRPr="00D03F93">
        <w:rPr>
          <w:rFonts w:cs="Arial"/>
        </w:rPr>
        <w:t xml:space="preserve">., the post-transaction situation). It should not, however, be based on situations that do not exist. </w:t>
      </w:r>
    </w:p>
    <w:p w14:paraId="5C0EB865" w14:textId="0F41011E" w:rsidR="00921EB4" w:rsidRPr="00D03F93" w:rsidRDefault="00921EB4" w:rsidP="00921EB4">
      <w:pPr>
        <w:pStyle w:val="Style1"/>
        <w:rPr>
          <w:rFonts w:cs="Arial"/>
        </w:rPr>
      </w:pPr>
      <w:r w:rsidRPr="00D03F93">
        <w:rPr>
          <w:rFonts w:cs="Arial"/>
        </w:rPr>
        <w:t xml:space="preserve">Even though the Commission specifies in </w:t>
      </w:r>
      <w:r w:rsidR="002C0B91" w:rsidRPr="00D03F93">
        <w:rPr>
          <w:rFonts w:cs="Arial"/>
        </w:rPr>
        <w:t xml:space="preserve">para. </w:t>
      </w:r>
      <w:r w:rsidRPr="00D03F93">
        <w:rPr>
          <w:rFonts w:cs="Arial"/>
        </w:rPr>
        <w:t>311</w:t>
      </w:r>
      <w:r w:rsidR="005B482B" w:rsidRPr="00D03F93">
        <w:rPr>
          <w:rFonts w:cs="Arial"/>
        </w:rPr>
        <w:t xml:space="preserve"> </w:t>
      </w:r>
      <w:r w:rsidR="005B482B" w:rsidRPr="00D03F93">
        <w:t>of the Draft Guidelines</w:t>
      </w:r>
      <w:r w:rsidRPr="00D03F93">
        <w:rPr>
          <w:rFonts w:cs="Arial"/>
        </w:rPr>
        <w:t xml:space="preserve"> that the parties should not need to cover mere hypothetical possibility but should address arrangements that are reasonably practical, taking into account the parties</w:t>
      </w:r>
      <w:r w:rsidR="002D7F99">
        <w:rPr>
          <w:rFonts w:cs="Arial"/>
        </w:rPr>
        <w:t>’</w:t>
      </w:r>
      <w:r w:rsidRPr="00D03F93">
        <w:rPr>
          <w:rFonts w:cs="Arial"/>
        </w:rPr>
        <w:t xml:space="preserve"> economic incentives to collaborate and their business situation, the APDC considers that this demonstration is highly speculative and will remain a way for the Commission to refuse to clear a merger based on efficiencies. </w:t>
      </w:r>
    </w:p>
    <w:p w14:paraId="3BC4E4B7" w14:textId="3325D7B7" w:rsidR="00921EB4" w:rsidRPr="00D03F93" w:rsidRDefault="00921EB4" w:rsidP="00921EB4">
      <w:pPr>
        <w:pStyle w:val="Style1"/>
        <w:rPr>
          <w:rFonts w:cs="Arial"/>
        </w:rPr>
      </w:pPr>
      <w:r w:rsidRPr="00D03F93">
        <w:rPr>
          <w:rFonts w:cs="Arial"/>
        </w:rPr>
        <w:t xml:space="preserve">This is </w:t>
      </w:r>
      <w:proofErr w:type="gramStart"/>
      <w:r w:rsidRPr="00D03F93">
        <w:rPr>
          <w:rFonts w:cs="Arial"/>
        </w:rPr>
        <w:t>all the more</w:t>
      </w:r>
      <w:proofErr w:type="gramEnd"/>
      <w:r w:rsidRPr="00D03F93">
        <w:rPr>
          <w:rFonts w:cs="Arial"/>
        </w:rPr>
        <w:t xml:space="preserve"> harmful given that the Commission</w:t>
      </w:r>
      <w:r w:rsidR="002D7F99">
        <w:rPr>
          <w:rFonts w:cs="Arial"/>
        </w:rPr>
        <w:t>’</w:t>
      </w:r>
      <w:r w:rsidRPr="00D03F93">
        <w:rPr>
          <w:rFonts w:cs="Arial"/>
        </w:rPr>
        <w:t xml:space="preserve">s approach appears more stringent than that adopted by the </w:t>
      </w:r>
      <w:r w:rsidR="00D80B67">
        <w:rPr>
          <w:rFonts w:cs="Arial"/>
        </w:rPr>
        <w:t>Competition and Markets Authority (</w:t>
      </w:r>
      <w:r w:rsidR="002D7F99">
        <w:t>“</w:t>
      </w:r>
      <w:r w:rsidRPr="00D03F93">
        <w:rPr>
          <w:rFonts w:cs="Arial"/>
        </w:rPr>
        <w:t>CMA</w:t>
      </w:r>
      <w:r w:rsidR="002D7F99">
        <w:t>”</w:t>
      </w:r>
      <w:r w:rsidR="00D80B67">
        <w:rPr>
          <w:rFonts w:cs="Arial"/>
        </w:rPr>
        <w:t>)</w:t>
      </w:r>
      <w:r w:rsidRPr="00D03F93">
        <w:rPr>
          <w:rFonts w:cs="Arial"/>
        </w:rPr>
        <w:t xml:space="preserve"> in its draft revised merger efficiencies guidance. While the CMA focuses on the practical constraints businesses face (</w:t>
      </w:r>
      <w:r w:rsidRPr="00D03F93">
        <w:rPr>
          <w:rFonts w:cs="Arial"/>
          <w:i/>
          <w:iCs/>
        </w:rPr>
        <w:t>e.g.</w:t>
      </w:r>
      <w:r w:rsidRPr="00D03F93">
        <w:rPr>
          <w:rFonts w:cs="Arial"/>
        </w:rPr>
        <w:t xml:space="preserve"> assessing the feasibility, costs and risks of other alternatives)</w:t>
      </w:r>
      <w:r w:rsidR="00E61977">
        <w:rPr>
          <w:rFonts w:cs="Arial"/>
        </w:rPr>
        <w:t>,</w:t>
      </w:r>
      <w:r w:rsidRPr="00D03F93">
        <w:rPr>
          <w:rStyle w:val="FootnoteReference"/>
          <w:rFonts w:cs="Arial"/>
        </w:rPr>
        <w:footnoteReference w:id="22"/>
      </w:r>
      <w:r w:rsidRPr="00D03F93">
        <w:rPr>
          <w:rStyle w:val="FootnoteReference"/>
          <w:rFonts w:cs="Arial"/>
        </w:rPr>
        <w:t xml:space="preserve"> </w:t>
      </w:r>
      <w:r w:rsidRPr="00D03F93">
        <w:rPr>
          <w:rFonts w:cs="Arial"/>
        </w:rPr>
        <w:t>the Commission appears to require notifying parties to demonstrate that the alternative is both unrealistic and unachievable.</w:t>
      </w:r>
      <w:r w:rsidRPr="00D03F93">
        <w:rPr>
          <w:rStyle w:val="FootnoteReference"/>
          <w:rFonts w:cs="Arial"/>
        </w:rPr>
        <w:footnoteReference w:id="23"/>
      </w:r>
      <w:r w:rsidRPr="00D03F93">
        <w:rPr>
          <w:rFonts w:cs="Arial"/>
        </w:rPr>
        <w:t xml:space="preserve"> </w:t>
      </w:r>
      <w:r w:rsidR="00496768" w:rsidRPr="00D03F93">
        <w:rPr>
          <w:rFonts w:cs="Arial"/>
        </w:rPr>
        <w:t xml:space="preserve">Should the CMA approach be followed by the Commission, it could </w:t>
      </w:r>
      <w:r w:rsidRPr="00D03F93">
        <w:rPr>
          <w:rFonts w:cs="Arial"/>
        </w:rPr>
        <w:t>however be further refined by specifying that an alternative would only be relevant if it could deliver similar efficiencies in a comparable timeframe.</w:t>
      </w:r>
    </w:p>
    <w:p w14:paraId="0B871B26" w14:textId="4DD14AEA" w:rsidR="00921EB4" w:rsidRPr="00D03F93" w:rsidRDefault="00921EB4" w:rsidP="00921EB4">
      <w:pPr>
        <w:pStyle w:val="Style1"/>
        <w:rPr>
          <w:rFonts w:cs="Arial"/>
        </w:rPr>
      </w:pPr>
      <w:r w:rsidRPr="00D03F93">
        <w:rPr>
          <w:rFonts w:cs="Arial"/>
        </w:rPr>
        <w:t>Another possibility would be to introduce rebuttable sector-specific presumptions based on accumulated economic experience in particular industries. This would mean that certain contractual alternatives would be presumed to be less effective than a merger in generating particular efficiencies. While this would alleviate part of the evidentiary burden borne by the notifying parties and provide greater legal certainty, it would not constitute an exhaustive (and therefore satisfactory) proposal.</w:t>
      </w:r>
    </w:p>
    <w:p w14:paraId="59292C09" w14:textId="77777777" w:rsidR="00921EB4" w:rsidRPr="00D03F93" w:rsidRDefault="00921EB4" w:rsidP="00921EB4">
      <w:pPr>
        <w:pStyle w:val="Style1"/>
        <w:rPr>
          <w:rFonts w:cs="Arial"/>
        </w:rPr>
      </w:pPr>
      <w:r w:rsidRPr="00D03F93">
        <w:rPr>
          <w:rFonts w:cs="Arial"/>
        </w:rPr>
        <w:t xml:space="preserve">A more readily implementable solution would be for the Commission to develop sector-specific benchmarks or guidance identifying recurring contractual alternatives and the circumstances in which they may be deemed as less effective in generating the typically associated efficiencies. Although this option could only identify recurring patterns rather than exhaustively capture the full range of factual scenarios that may arise, such guidance would nevertheless facilitate the assessment of the merger-specificity requirement by providing a structured analytical framework. </w:t>
      </w:r>
    </w:p>
    <w:p w14:paraId="35F69CB7" w14:textId="5ABCA84F" w:rsidR="00921EB4" w:rsidRPr="00D03F93" w:rsidRDefault="00921EB4" w:rsidP="000506D9">
      <w:pPr>
        <w:pStyle w:val="Style1"/>
      </w:pPr>
      <w:r w:rsidRPr="00D03F93">
        <w:rPr>
          <w:rFonts w:cs="Arial"/>
        </w:rPr>
        <w:t xml:space="preserve">Overall, the APDC argues that if the Commission were to maintain this merger-specificity test as presented in the </w:t>
      </w:r>
      <w:r w:rsidR="000B73F2" w:rsidRPr="00D03F93">
        <w:rPr>
          <w:rFonts w:cs="Arial"/>
        </w:rPr>
        <w:t>Draft</w:t>
      </w:r>
      <w:r w:rsidRPr="00D03F93">
        <w:rPr>
          <w:rFonts w:cs="Arial"/>
        </w:rPr>
        <w:t xml:space="preserve"> Guidelines, thereby creating a double standard between the assessment of efficiencies and anticompetitive effects, the Commission </w:t>
      </w:r>
      <w:r w:rsidRPr="00D03F93">
        <w:rPr>
          <w:rFonts w:cs="Arial"/>
        </w:rPr>
        <w:lastRenderedPageBreak/>
        <w:t>would substantially undermine the consideration of efficiencies, to the detriment of consumers and the internal market.</w:t>
      </w:r>
    </w:p>
    <w:p w14:paraId="2E38ADD9" w14:textId="1646D218" w:rsidR="00391839" w:rsidRPr="00D03F93" w:rsidRDefault="00391839" w:rsidP="006340E6">
      <w:pPr>
        <w:pStyle w:val="Firm5L2"/>
      </w:pPr>
      <w:r w:rsidRPr="00D03F93">
        <w:t>Benefit to consumers</w:t>
      </w:r>
    </w:p>
    <w:p w14:paraId="5E82D391" w14:textId="6E03D2F2" w:rsidR="00894532" w:rsidRPr="00D03F93" w:rsidRDefault="003C03CE" w:rsidP="005C59FB">
      <w:pPr>
        <w:pStyle w:val="Style1"/>
        <w:ind w:left="709" w:hanging="709"/>
        <w:rPr>
          <w:rFonts w:cs="Arial"/>
        </w:rPr>
      </w:pPr>
      <w:r w:rsidRPr="00D03F93">
        <w:rPr>
          <w:rFonts w:cs="Arial"/>
        </w:rPr>
        <w:t>First, t</w:t>
      </w:r>
      <w:r w:rsidR="00894532" w:rsidRPr="00D03F93">
        <w:rPr>
          <w:rFonts w:cs="Arial"/>
        </w:rPr>
        <w:t xml:space="preserve">he APDC regrets that the Commission appears compelled to limit its analysis of efficiency gains to those benefiting consumers likely to be negatively affected by the merger. This is at odds with the opening statement of the </w:t>
      </w:r>
      <w:r w:rsidR="00C04B35" w:rsidRPr="00D03F93">
        <w:rPr>
          <w:rFonts w:cs="Arial"/>
        </w:rPr>
        <w:t>Draft</w:t>
      </w:r>
      <w:r w:rsidR="00894532" w:rsidRPr="00D03F93">
        <w:rPr>
          <w:rFonts w:cs="Arial"/>
        </w:rPr>
        <w:t xml:space="preserve"> Guidelines</w:t>
      </w:r>
      <w:r w:rsidR="002D7F99">
        <w:rPr>
          <w:rFonts w:cs="Arial"/>
        </w:rPr>
        <w:t>’</w:t>
      </w:r>
      <w:r w:rsidR="00894532" w:rsidRPr="00D03F93">
        <w:rPr>
          <w:rFonts w:cs="Arial"/>
        </w:rPr>
        <w:t xml:space="preserve"> Section on Efficiencies in which the Commission</w:t>
      </w:r>
      <w:r w:rsidR="002D7F99">
        <w:rPr>
          <w:rFonts w:cs="Arial"/>
        </w:rPr>
        <w:t>’</w:t>
      </w:r>
      <w:r w:rsidR="00894532" w:rsidRPr="00D03F93">
        <w:rPr>
          <w:rFonts w:cs="Arial"/>
        </w:rPr>
        <w:t>s declares an intention to avoid chilling transactions that would not only be beneficial for customers but also for the internal market. It also reveals another discrepancy between the assessment of efficiencies and the assessment of harm (which is not limited to harm to consumers of the merging parties).</w:t>
      </w:r>
    </w:p>
    <w:p w14:paraId="5BFB5BCF" w14:textId="7086D48B" w:rsidR="00894532" w:rsidRPr="00D03F93" w:rsidRDefault="00894532" w:rsidP="005C59FB">
      <w:pPr>
        <w:pStyle w:val="Style1"/>
        <w:ind w:left="709" w:hanging="709"/>
        <w:rPr>
          <w:rFonts w:cs="Arial"/>
        </w:rPr>
      </w:pPr>
      <w:r w:rsidRPr="00D03F93">
        <w:rPr>
          <w:rFonts w:cs="Arial"/>
        </w:rPr>
        <w:t>But most importantly, this forces the Commission to artificially link any quality benefits to consumers</w:t>
      </w:r>
      <w:r w:rsidR="002D7F99">
        <w:rPr>
          <w:rFonts w:cs="Arial"/>
        </w:rPr>
        <w:t>’</w:t>
      </w:r>
      <w:r w:rsidRPr="00D03F93">
        <w:rPr>
          <w:rFonts w:cs="Arial"/>
        </w:rPr>
        <w:t xml:space="preserve"> perceptions of them. This is particularly questionable </w:t>
      </w:r>
      <w:proofErr w:type="gramStart"/>
      <w:r w:rsidRPr="00D03F93">
        <w:rPr>
          <w:rFonts w:cs="Arial"/>
        </w:rPr>
        <w:t>with regard to</w:t>
      </w:r>
      <w:proofErr w:type="gramEnd"/>
      <w:r w:rsidRPr="00D03F93">
        <w:rPr>
          <w:rFonts w:cs="Arial"/>
        </w:rPr>
        <w:t xml:space="preserve"> </w:t>
      </w:r>
      <w:r w:rsidR="002D7F99">
        <w:rPr>
          <w:rFonts w:cs="Arial"/>
        </w:rPr>
        <w:t>‘</w:t>
      </w:r>
      <w:r w:rsidRPr="00D03F93">
        <w:rPr>
          <w:rFonts w:cs="Arial"/>
        </w:rPr>
        <w:t>non-use value benefits</w:t>
      </w:r>
      <w:r w:rsidR="002D7F99">
        <w:rPr>
          <w:rFonts w:cs="Arial"/>
        </w:rPr>
        <w:t>’</w:t>
      </w:r>
      <w:r w:rsidRPr="00D03F93">
        <w:rPr>
          <w:rFonts w:cs="Arial"/>
        </w:rPr>
        <w:t xml:space="preserve"> such as concerns for the environment and other altruistic concerns such as the preservation of resources for future consumption (i.e. resilience), or the impact of individual consumption on others (e.g. farmers on another continent).</w:t>
      </w:r>
    </w:p>
    <w:p w14:paraId="54FDF0E2" w14:textId="09647E25" w:rsidR="00894532" w:rsidRPr="00D03F93" w:rsidRDefault="00894532" w:rsidP="005C59FB">
      <w:pPr>
        <w:pStyle w:val="Style1"/>
        <w:ind w:left="709" w:hanging="709"/>
        <w:rPr>
          <w:rFonts w:cs="Arial"/>
        </w:rPr>
      </w:pPr>
      <w:r w:rsidRPr="00D03F93">
        <w:rPr>
          <w:rFonts w:cs="Arial"/>
        </w:rPr>
        <w:t>The APDC advocates that the Commission</w:t>
      </w:r>
      <w:r w:rsidR="002D7F99">
        <w:rPr>
          <w:rFonts w:cs="Arial"/>
        </w:rPr>
        <w:t>’</w:t>
      </w:r>
      <w:r w:rsidRPr="00D03F93">
        <w:rPr>
          <w:rFonts w:cs="Arial"/>
        </w:rPr>
        <w:t>s restrictive approach to the beneficiaries of the merger</w:t>
      </w:r>
      <w:r w:rsidR="002D7F99">
        <w:rPr>
          <w:rFonts w:cs="Arial"/>
        </w:rPr>
        <w:t>’</w:t>
      </w:r>
      <w:r w:rsidRPr="00D03F93">
        <w:rPr>
          <w:rFonts w:cs="Arial"/>
        </w:rPr>
        <w:t>s efficiencies fails to adequately account for such types of efficiencies. Other efficiencies that are thus bound to be inadequately considered could include (i) transactions generating externalities that directly accrue to certain beneficiaries as a whole or (ii) transactions that contribute to the resilience of the European economy, or to certain public policy objectives (such as the security of the continent) or to sustainability goals.</w:t>
      </w:r>
    </w:p>
    <w:p w14:paraId="2D0F0264" w14:textId="77777777" w:rsidR="00894532" w:rsidRPr="00D03F93" w:rsidRDefault="00894532" w:rsidP="005C59FB">
      <w:pPr>
        <w:pStyle w:val="Style1"/>
        <w:ind w:left="709" w:hanging="709"/>
        <w:rPr>
          <w:rFonts w:cs="Arial"/>
        </w:rPr>
      </w:pPr>
      <w:r w:rsidRPr="00D03F93">
        <w:rPr>
          <w:rFonts w:cs="Arial"/>
        </w:rPr>
        <w:t xml:space="preserve">This leads the Commission to overvalue the subjective appreciation of consumers on the altruistic dimension of their purchase and to exclude </w:t>
      </w:r>
      <w:proofErr w:type="gramStart"/>
      <w:r w:rsidRPr="00D03F93">
        <w:rPr>
          <w:rFonts w:cs="Arial"/>
        </w:rPr>
        <w:t>taking into account</w:t>
      </w:r>
      <w:proofErr w:type="gramEnd"/>
      <w:r w:rsidRPr="00D03F93">
        <w:rPr>
          <w:rFonts w:cs="Arial"/>
        </w:rPr>
        <w:t xml:space="preserve"> the benefits on beneficiaries for whom direct consumers of the parties at the time of the merger are not ready to pay an additional price or to accept a reduction in the product offering.</w:t>
      </w:r>
    </w:p>
    <w:p w14:paraId="163FA048" w14:textId="54231418" w:rsidR="00BC2414" w:rsidRPr="00D03F93" w:rsidRDefault="00BC2414" w:rsidP="00D03F93">
      <w:pPr>
        <w:pStyle w:val="Firm1L1"/>
        <w:rPr>
          <w:rFonts w:cs="Arial"/>
        </w:rPr>
      </w:pPr>
      <w:r w:rsidRPr="00D03F93">
        <w:t xml:space="preserve">Although the Commission recognises that customers do </w:t>
      </w:r>
      <w:r w:rsidR="002D7F99">
        <w:t>“</w:t>
      </w:r>
      <w:r w:rsidRPr="00D03F93">
        <w:rPr>
          <w:i/>
          <w:iCs/>
        </w:rPr>
        <w:t xml:space="preserve">not fully take </w:t>
      </w:r>
      <w:r w:rsidRPr="00D03F93">
        <w:t>[…]</w:t>
      </w:r>
      <w:r w:rsidRPr="00D03F93">
        <w:rPr>
          <w:i/>
          <w:iCs/>
        </w:rPr>
        <w:t xml:space="preserve"> into account</w:t>
      </w:r>
      <w:r w:rsidR="002D7F99">
        <w:t>”</w:t>
      </w:r>
      <w:r w:rsidRPr="00D03F93">
        <w:t xml:space="preserve"> the fact that their individual consumption decisions may generate </w:t>
      </w:r>
      <w:r w:rsidR="002D7F99">
        <w:t>“</w:t>
      </w:r>
      <w:r w:rsidRPr="00D03F93">
        <w:rPr>
          <w:i/>
          <w:iCs/>
        </w:rPr>
        <w:t>consumption externalities</w:t>
      </w:r>
      <w:r w:rsidR="002D7F99">
        <w:t>”</w:t>
      </w:r>
      <w:r w:rsidRPr="00D03F93">
        <w:t xml:space="preserve">, it still proposes to consider collective benefits only </w:t>
      </w:r>
      <w:r w:rsidR="002D7F99">
        <w:t>“</w:t>
      </w:r>
      <w:r w:rsidRPr="00D03F93">
        <w:rPr>
          <w:i/>
          <w:iCs/>
        </w:rPr>
        <w:t>to the extent they benefit the consumers harmed by the merger through the internalization of consumption externalities</w:t>
      </w:r>
      <w:r w:rsidR="002D7F99">
        <w:t>”</w:t>
      </w:r>
      <w:r w:rsidRPr="00D03F93">
        <w:t>. In other words, consumption externalities of which ordinary consumers are unaware may not be treated as efficiencies. In the APDC</w:t>
      </w:r>
      <w:r w:rsidR="002D7F99">
        <w:t>’</w:t>
      </w:r>
      <w:r w:rsidRPr="00D03F93">
        <w:t xml:space="preserve">s view, this subjective approach provides an unreliable basis for assessing efficiencies, particularly since the Commission does not specify what proportion of </w:t>
      </w:r>
      <w:r w:rsidR="002D7F99">
        <w:t>“</w:t>
      </w:r>
      <w:r w:rsidRPr="00D03F93">
        <w:rPr>
          <w:i/>
          <w:iCs/>
        </w:rPr>
        <w:t>altruistic consumers</w:t>
      </w:r>
      <w:r w:rsidR="002D7F99">
        <w:t>”</w:t>
      </w:r>
      <w:r w:rsidRPr="00D03F93">
        <w:t xml:space="preserve"> would need to be established for a given non-use value benefit to be relevant to the merger assessment.</w:t>
      </w:r>
    </w:p>
    <w:p w14:paraId="0E5C2031" w14:textId="60C6AF96" w:rsidR="00AB4BF2" w:rsidRPr="00D03F93" w:rsidRDefault="00AB4BF2" w:rsidP="00E14EF8">
      <w:pPr>
        <w:pStyle w:val="Firm1L1"/>
        <w:rPr>
          <w:rFonts w:cs="Arial"/>
        </w:rPr>
      </w:pPr>
      <w:r w:rsidRPr="00D03F93">
        <w:t>Relying purely on the consumer</w:t>
      </w:r>
      <w:r w:rsidR="002D7F99">
        <w:t>’</w:t>
      </w:r>
      <w:r w:rsidRPr="00D03F93">
        <w:t xml:space="preserve">s perception of the benefit of a merger raises other concerns. Defensive mergers where a significant industrial rationalisation is at stake to address over-capacities could be one example of transactions that are prone to efficiencies, which would not be perceptible to </w:t>
      </w:r>
      <w:r w:rsidR="00DB46BF" w:rsidRPr="00D03F93">
        <w:t>consumers</w:t>
      </w:r>
      <w:r w:rsidRPr="00D03F93">
        <w:t xml:space="preserve">. In sectors with </w:t>
      </w:r>
      <w:r w:rsidRPr="00D03F93">
        <w:lastRenderedPageBreak/>
        <w:t xml:space="preserve">overcapacities, the APDC believes that allowing two competitors to merge can be more beneficial to competition and consumers than maintaining the </w:t>
      </w:r>
      <w:r w:rsidRPr="00D03F93">
        <w:rPr>
          <w:i/>
          <w:iCs/>
        </w:rPr>
        <w:t>status quo</w:t>
      </w:r>
      <w:r w:rsidRPr="00D03F93">
        <w:t xml:space="preserve">. When excess capacity leads to unsustainable operations and declining profitability, there is a potential risk that a company will go bankrupt if it is unable to cover its fixed costs, which would lead to reduced output, reduced innovation, higher prices over time and a significant negative impact on employment. Conversely, a merger would allow for economies of scale, better use of resources, and potentially more innovation. </w:t>
      </w:r>
    </w:p>
    <w:p w14:paraId="6089A2E2" w14:textId="414B09A6" w:rsidR="00894532" w:rsidRPr="00D03F93" w:rsidRDefault="00894532" w:rsidP="005C59FB">
      <w:pPr>
        <w:pStyle w:val="Style1"/>
        <w:ind w:left="709" w:hanging="709"/>
        <w:rPr>
          <w:rFonts w:cs="Arial"/>
        </w:rPr>
      </w:pPr>
      <w:r w:rsidRPr="00D03F93">
        <w:rPr>
          <w:rFonts w:cs="Arial"/>
        </w:rPr>
        <w:t>The APDC still advocates that the Commission could consider a broader test (similar, for instance, to the Union interest test applied in trade defen</w:t>
      </w:r>
      <w:r w:rsidR="0020424E">
        <w:rPr>
          <w:rFonts w:cs="Arial"/>
        </w:rPr>
        <w:t>c</w:t>
      </w:r>
      <w:r w:rsidRPr="00D03F93">
        <w:rPr>
          <w:rFonts w:cs="Arial"/>
        </w:rPr>
        <w:t>e proceedings) that would encompass but not be limited to benefits to consumers.</w:t>
      </w:r>
    </w:p>
    <w:p w14:paraId="1B3A9AB6" w14:textId="76BDFE51" w:rsidR="00894532" w:rsidRPr="00D03F93" w:rsidRDefault="00894532" w:rsidP="005C59FB">
      <w:pPr>
        <w:pStyle w:val="Style1"/>
        <w:ind w:left="709" w:hanging="709"/>
        <w:rPr>
          <w:rFonts w:cs="Arial"/>
        </w:rPr>
      </w:pPr>
      <w:r w:rsidRPr="00D03F93">
        <w:rPr>
          <w:rFonts w:cs="Arial"/>
        </w:rPr>
        <w:t>In this regard, the CMA has suggested using the entire UK consumer base as a more general criterion in its draft revised merger efficiencies guidance</w:t>
      </w:r>
      <w:r w:rsidR="00E61977">
        <w:rPr>
          <w:rFonts w:cs="Arial"/>
        </w:rPr>
        <w:t>.</w:t>
      </w:r>
      <w:r w:rsidR="00EF334F" w:rsidRPr="00D03F93">
        <w:rPr>
          <w:rStyle w:val="FootnoteReference"/>
          <w:rFonts w:cs="Arial"/>
        </w:rPr>
        <w:footnoteReference w:id="24"/>
      </w:r>
    </w:p>
    <w:p w14:paraId="324DED18" w14:textId="7A728D09" w:rsidR="00894532" w:rsidRPr="00D03F93" w:rsidRDefault="003C03CE" w:rsidP="005C59FB">
      <w:pPr>
        <w:pStyle w:val="Style1"/>
        <w:ind w:left="709" w:hanging="709"/>
        <w:rPr>
          <w:rFonts w:cs="Arial"/>
        </w:rPr>
      </w:pPr>
      <w:r w:rsidRPr="00D03F93">
        <w:rPr>
          <w:rFonts w:cs="Arial"/>
        </w:rPr>
        <w:t>Second, a</w:t>
      </w:r>
      <w:r w:rsidR="00894532" w:rsidRPr="00D03F93">
        <w:rPr>
          <w:rFonts w:cs="Arial"/>
        </w:rPr>
        <w:t>s for the assessment of passing-on, the Commission advocates that the considerations relevant for the pass-on of quality efficiency are the same that the considerations relevant for the pass-on of cost efficiencies</w:t>
      </w:r>
      <w:r w:rsidR="00E61977">
        <w:rPr>
          <w:rFonts w:cs="Arial"/>
        </w:rPr>
        <w:t>.</w:t>
      </w:r>
      <w:r w:rsidR="00EF334F" w:rsidRPr="00D03F93">
        <w:rPr>
          <w:rStyle w:val="FootnoteReference"/>
          <w:rFonts w:cs="Arial"/>
        </w:rPr>
        <w:footnoteReference w:id="25"/>
      </w:r>
      <w:r w:rsidR="00894532" w:rsidRPr="00D03F93">
        <w:rPr>
          <w:rFonts w:cs="Arial"/>
        </w:rPr>
        <w:t xml:space="preserve"> The latter is only deemed likely, in the </w:t>
      </w:r>
      <w:r w:rsidR="00E55EBF" w:rsidRPr="00D03F93">
        <w:rPr>
          <w:rFonts w:cs="Arial"/>
        </w:rPr>
        <w:t xml:space="preserve">Draft </w:t>
      </w:r>
      <w:r w:rsidR="00894532" w:rsidRPr="00D03F93">
        <w:rPr>
          <w:rFonts w:cs="Arial"/>
        </w:rPr>
        <w:t>Guidelines, where such pass-on would allow merging parties to profitably increase output, and if cost savings concern costs (either variable or marginal) that are relevant for the pricing decisions of the merged entity. This approach fails to consider other important parameters that enhance the likelihood of passing-on including (i) the intensity of competition (potential or actual, current or future) on the relevant market where the efficiencies materialize; (ii) demand elasticity on that same market; or (iii) whether the efficiencies take the form of a reduction of the combined entity</w:t>
      </w:r>
      <w:r w:rsidR="002D7F99">
        <w:rPr>
          <w:rFonts w:cs="Arial"/>
        </w:rPr>
        <w:t>’</w:t>
      </w:r>
      <w:r w:rsidR="00894532" w:rsidRPr="00D03F93">
        <w:rPr>
          <w:rFonts w:cs="Arial"/>
        </w:rPr>
        <w:t>s cost base or directly accrue to consumers or to other beneficiaries (through externalities).</w:t>
      </w:r>
    </w:p>
    <w:p w14:paraId="250F21FA" w14:textId="4D3588DD" w:rsidR="00AB4BF2" w:rsidRPr="00D03F93" w:rsidRDefault="00AB4BF2" w:rsidP="00AB4BF2">
      <w:pPr>
        <w:pStyle w:val="Firm1L1"/>
        <w:rPr>
          <w:rFonts w:cs="Arial"/>
        </w:rPr>
      </w:pPr>
      <w:r w:rsidRPr="00D03F93">
        <w:t xml:space="preserve">In para. 323 of the Draft Guidelines, the Commission announces its intention to only </w:t>
      </w:r>
      <w:proofErr w:type="gramStart"/>
      <w:r w:rsidRPr="00D03F93">
        <w:t>take into account</w:t>
      </w:r>
      <w:proofErr w:type="gramEnd"/>
      <w:r w:rsidRPr="00D03F93">
        <w:t xml:space="preserve"> net benefits of efficiencies, excluding potential </w:t>
      </w:r>
      <w:r w:rsidR="002D7F99">
        <w:t>“</w:t>
      </w:r>
      <w:r w:rsidRPr="00D03F93">
        <w:rPr>
          <w:i/>
          <w:iCs/>
        </w:rPr>
        <w:t>claw back</w:t>
      </w:r>
      <w:r w:rsidR="002D7F99">
        <w:t>”</w:t>
      </w:r>
      <w:r w:rsidRPr="00D03F93">
        <w:t xml:space="preserve">, whereby the merged firm </w:t>
      </w:r>
      <w:r w:rsidR="002D7F99">
        <w:t>“</w:t>
      </w:r>
      <w:r w:rsidRPr="00D03F93">
        <w:rPr>
          <w:i/>
          <w:iCs/>
        </w:rPr>
        <w:t xml:space="preserve">would charge a higher price </w:t>
      </w:r>
      <w:proofErr w:type="gramStart"/>
      <w:r w:rsidRPr="00D03F93">
        <w:rPr>
          <w:i/>
          <w:iCs/>
        </w:rPr>
        <w:t>in order to</w:t>
      </w:r>
      <w:proofErr w:type="gramEnd"/>
      <w:r w:rsidRPr="00D03F93">
        <w:rPr>
          <w:i/>
          <w:iCs/>
        </w:rPr>
        <w:t xml:space="preserve"> </w:t>
      </w:r>
      <w:r w:rsidR="002D7F99">
        <w:rPr>
          <w:i/>
          <w:iCs/>
        </w:rPr>
        <w:t>‘</w:t>
      </w:r>
      <w:r w:rsidRPr="00D03F93">
        <w:rPr>
          <w:i/>
          <w:iCs/>
        </w:rPr>
        <w:t>claw back</w:t>
      </w:r>
      <w:r w:rsidR="002D7F99">
        <w:rPr>
          <w:i/>
          <w:iCs/>
        </w:rPr>
        <w:t>’</w:t>
      </w:r>
      <w:r w:rsidRPr="00D03F93">
        <w:rPr>
          <w:i/>
          <w:iCs/>
        </w:rPr>
        <w:t xml:space="preserve"> consumer benefits from higher quality. Therefore, only benefits that are </w:t>
      </w:r>
      <w:proofErr w:type="gramStart"/>
      <w:r w:rsidRPr="00D03F93">
        <w:rPr>
          <w:i/>
          <w:iCs/>
        </w:rPr>
        <w:t>actually passed</w:t>
      </w:r>
      <w:proofErr w:type="gramEnd"/>
      <w:r w:rsidRPr="00D03F93">
        <w:rPr>
          <w:i/>
          <w:iCs/>
        </w:rPr>
        <w:t xml:space="preserve"> on to consumers, after having deduced the part of the benefits that is clawed back, can be considered as consumer benefits rather than the full amount of the benefit</w:t>
      </w:r>
      <w:r w:rsidRPr="00D03F93">
        <w:rPr>
          <w:i/>
          <w:iCs/>
          <w:vertAlign w:val="superscript"/>
        </w:rPr>
        <w:t>402</w:t>
      </w:r>
      <w:r w:rsidRPr="00D03F93">
        <w:rPr>
          <w:i/>
          <w:iCs/>
        </w:rPr>
        <w:t>. [...]</w:t>
      </w:r>
      <w:bookmarkStart w:id="32" w:name="_ftnref32"/>
      <w:r w:rsidR="002D7F99">
        <w:t>”</w:t>
      </w:r>
      <w:r w:rsidR="00E61977">
        <w:t>.</w:t>
      </w:r>
      <w:hyperlink w:anchor="_ftn32" w:history="1">
        <w:r w:rsidRPr="006340E6">
          <w:rPr>
            <w:rStyle w:val="FootnoteReference"/>
            <w:color w:val="000000"/>
          </w:rPr>
          <w:t>[32]</w:t>
        </w:r>
      </w:hyperlink>
      <w:bookmarkEnd w:id="32"/>
      <w:r w:rsidRPr="00D03F93">
        <w:t xml:space="preserve"> Although such claw back may happen in certain cases, Commission </w:t>
      </w:r>
      <w:r w:rsidR="00DE20F9" w:rsidRPr="00D03F93">
        <w:t xml:space="preserve">should </w:t>
      </w:r>
      <w:r w:rsidRPr="00D03F93">
        <w:t xml:space="preserve">not introduce any presumption of </w:t>
      </w:r>
      <w:r w:rsidR="002D7F99">
        <w:t>“</w:t>
      </w:r>
      <w:r w:rsidRPr="00D03F93">
        <w:rPr>
          <w:i/>
          <w:iCs/>
        </w:rPr>
        <w:t>claw back</w:t>
      </w:r>
      <w:r w:rsidR="002D7F99">
        <w:t>”</w:t>
      </w:r>
      <w:r w:rsidRPr="00D03F93">
        <w:t xml:space="preserve"> in assessing quality benefits. Furthermore, it should be for the Commission to demonstrate such claw back, and with the same level of certainty as is required from the merging parties for the efficiencies themselves.</w:t>
      </w:r>
    </w:p>
    <w:p w14:paraId="50E32320" w14:textId="5C9DB3D9" w:rsidR="009D10D0" w:rsidRPr="00D03F93" w:rsidRDefault="009D10D0" w:rsidP="00D03F93">
      <w:pPr>
        <w:pStyle w:val="Firm1L1"/>
        <w:rPr>
          <w:kern w:val="2"/>
          <w:szCs w:val="22"/>
          <w:lang w:eastAsia="zh-CN"/>
          <w14:ligatures w14:val="standardContextual"/>
        </w:rPr>
      </w:pPr>
      <w:r w:rsidRPr="00D03F93">
        <w:t>The opening statement of the Draft Guidelines</w:t>
      </w:r>
      <w:r w:rsidR="002D7F99">
        <w:t>’</w:t>
      </w:r>
      <w:r w:rsidRPr="00D03F93">
        <w:t xml:space="preserve"> section on benefits to consumers may also be relevant to the assessment of pass-on. It provides that: </w:t>
      </w:r>
      <w:r w:rsidR="002D7F99">
        <w:t>“</w:t>
      </w:r>
      <w:r w:rsidRPr="00D03F93">
        <w:rPr>
          <w:i/>
          <w:iCs/>
        </w:rPr>
        <w:t>For direct efficiencies to benefit consumers, the improved conditions should relate not only to the merging parties</w:t>
      </w:r>
      <w:r w:rsidR="002D7F99">
        <w:rPr>
          <w:i/>
          <w:iCs/>
        </w:rPr>
        <w:t>’</w:t>
      </w:r>
      <w:r w:rsidRPr="00D03F93">
        <w:rPr>
          <w:i/>
          <w:iCs/>
        </w:rPr>
        <w:t xml:space="preserve"> activities, but also to the conditions in the relevant market as a whole, including competitors</w:t>
      </w:r>
      <w:r w:rsidR="002D7F99">
        <w:rPr>
          <w:i/>
          <w:iCs/>
        </w:rPr>
        <w:t>’</w:t>
      </w:r>
      <w:r w:rsidRPr="00D03F93">
        <w:rPr>
          <w:i/>
          <w:iCs/>
        </w:rPr>
        <w:t xml:space="preserve"> activities</w:t>
      </w:r>
      <w:r w:rsidR="002D7F99">
        <w:t>”</w:t>
      </w:r>
      <w:r w:rsidRPr="00D03F93">
        <w:t>.</w:t>
      </w:r>
      <w:r w:rsidR="00E7342C" w:rsidRPr="00D03F93">
        <w:rPr>
          <w:rStyle w:val="FootnoteReference"/>
        </w:rPr>
        <w:footnoteReference w:id="26"/>
      </w:r>
      <w:r w:rsidRPr="00D03F93">
        <w:t xml:space="preserve"> </w:t>
      </w:r>
      <w:r w:rsidR="003C52FE" w:rsidRPr="00D03F93">
        <w:t>The AP</w:t>
      </w:r>
      <w:r w:rsidR="0020424E">
        <w:t>D</w:t>
      </w:r>
      <w:r w:rsidR="003C52FE" w:rsidRPr="00D03F93">
        <w:t>C kindly invite</w:t>
      </w:r>
      <w:r w:rsidR="00501A17">
        <w:t>s</w:t>
      </w:r>
      <w:r w:rsidR="003C52FE" w:rsidRPr="00D03F93">
        <w:t xml:space="preserve"> the Commission </w:t>
      </w:r>
      <w:r w:rsidR="00B6775C" w:rsidRPr="00D03F93">
        <w:t xml:space="preserve">to </w:t>
      </w:r>
      <w:r w:rsidR="009E3272" w:rsidRPr="00D03F93">
        <w:t xml:space="preserve">reconcile this positive statement in the framework of analysis clarifying how </w:t>
      </w:r>
      <w:r w:rsidR="00ED17BA" w:rsidRPr="00D03F93">
        <w:t xml:space="preserve">the </w:t>
      </w:r>
      <w:r w:rsidR="00ED17BA" w:rsidRPr="00D03F93">
        <w:lastRenderedPageBreak/>
        <w:t xml:space="preserve">Commission intends to take into account the </w:t>
      </w:r>
      <w:r w:rsidR="002D7F99">
        <w:t>“</w:t>
      </w:r>
      <w:r w:rsidR="00ED17BA" w:rsidRPr="00D03F93">
        <w:rPr>
          <w:i/>
          <w:iCs/>
        </w:rPr>
        <w:t>the conditions in the relevant market as a whole, including competitors</w:t>
      </w:r>
      <w:r w:rsidR="002D7F99">
        <w:rPr>
          <w:i/>
          <w:iCs/>
        </w:rPr>
        <w:t>’</w:t>
      </w:r>
      <w:r w:rsidR="00ED17BA" w:rsidRPr="00D03F93">
        <w:rPr>
          <w:i/>
          <w:iCs/>
        </w:rPr>
        <w:t xml:space="preserve"> activities</w:t>
      </w:r>
      <w:r w:rsidR="002D7F99">
        <w:rPr>
          <w:i/>
          <w:iCs/>
        </w:rPr>
        <w:t>”</w:t>
      </w:r>
      <w:r w:rsidR="00ED17BA" w:rsidRPr="00D03F93">
        <w:rPr>
          <w:i/>
          <w:iCs/>
        </w:rPr>
        <w:t>.</w:t>
      </w:r>
    </w:p>
    <w:p w14:paraId="2EC172B3" w14:textId="29097E06" w:rsidR="001C588F" w:rsidRPr="00D03F93" w:rsidRDefault="001C588F" w:rsidP="00D03F93">
      <w:pPr>
        <w:pStyle w:val="Firm1L1"/>
      </w:pPr>
      <w:r w:rsidRPr="00D03F93">
        <w:t>Finally, as a methodological point, substantive guidance relevant to understanding the Commission</w:t>
      </w:r>
      <w:r w:rsidR="002D7F99">
        <w:t>’</w:t>
      </w:r>
      <w:r w:rsidRPr="00D03F93">
        <w:t>s approach should not be relegated to footnotes but included in the main text of the Draft Guidelines. In the section on benefits to consumers, this is particularly relevant to footnotes 395 and 399.</w:t>
      </w:r>
    </w:p>
    <w:p w14:paraId="784D9B3B" w14:textId="77777777" w:rsidR="00A0707B" w:rsidRPr="00D03F93" w:rsidRDefault="00A0707B" w:rsidP="006340E6">
      <w:pPr>
        <w:pStyle w:val="Firm5L2"/>
      </w:pPr>
      <w:r w:rsidRPr="00D03F93">
        <w:t>Standard and burden of proof for efficiencies</w:t>
      </w:r>
    </w:p>
    <w:p w14:paraId="54492523" w14:textId="07706A03" w:rsidR="00A0707B" w:rsidRPr="00D03F93" w:rsidRDefault="00F33CFF" w:rsidP="000506D9">
      <w:pPr>
        <w:pStyle w:val="Style1"/>
        <w:ind w:left="709" w:hanging="709"/>
      </w:pPr>
      <w:r w:rsidRPr="00D03F93">
        <w:t>First, t</w:t>
      </w:r>
      <w:r w:rsidR="00A0707B" w:rsidRPr="00D03F93">
        <w:t>he APDC welcomes the Commission</w:t>
      </w:r>
      <w:r w:rsidR="002D7F99">
        <w:t>’</w:t>
      </w:r>
      <w:r w:rsidR="00A0707B" w:rsidRPr="00D03F93">
        <w:t>s recognition that efficiencies should be assessed under the same standard of proof as anticompetitive effects</w:t>
      </w:r>
      <w:r w:rsidR="00B235D2" w:rsidRPr="00D03F93">
        <w:t xml:space="preserve"> i.e.</w:t>
      </w:r>
      <w:r w:rsidR="00A0707B" w:rsidRPr="00D03F93">
        <w:t xml:space="preserve"> a </w:t>
      </w:r>
      <w:r w:rsidR="002D7F99">
        <w:t>“</w:t>
      </w:r>
      <w:r w:rsidR="00A0707B" w:rsidRPr="00D03F93">
        <w:rPr>
          <w:i/>
          <w:iCs/>
        </w:rPr>
        <w:t>more likely than not</w:t>
      </w:r>
      <w:r w:rsidR="002D7F99">
        <w:t>”</w:t>
      </w:r>
      <w:r w:rsidR="00A0707B" w:rsidRPr="00D03F93">
        <w:t xml:space="preserve"> standard</w:t>
      </w:r>
      <w:r w:rsidR="009E1FC1" w:rsidRPr="00D03F93">
        <w:t>. This</w:t>
      </w:r>
      <w:r w:rsidR="00A0707B" w:rsidRPr="00D03F93">
        <w:t xml:space="preserve"> constitutes an important step towards a more coherent framework and responds, at least formally, to longstanding concerns regarding asymmetry in their assessment.</w:t>
      </w:r>
    </w:p>
    <w:p w14:paraId="15228F8D" w14:textId="6D918732" w:rsidR="00A0707B" w:rsidRPr="00D03F93" w:rsidRDefault="00A0707B" w:rsidP="000506D9">
      <w:pPr>
        <w:pStyle w:val="Style1"/>
        <w:ind w:left="709" w:hanging="709"/>
      </w:pPr>
      <w:r w:rsidRPr="00D03F93">
        <w:t xml:space="preserve">However, while the </w:t>
      </w:r>
      <w:r w:rsidR="00B226E4" w:rsidRPr="00D03F93">
        <w:t xml:space="preserve">Draft </w:t>
      </w:r>
      <w:r w:rsidRPr="00D03F93">
        <w:t>Guidelines introduce formal symmetry in the standard of proof for both harm and efficiencies, this symmetry is not reflected in the practical assessment of efficiencies.</w:t>
      </w:r>
    </w:p>
    <w:p w14:paraId="69E9D3E9" w14:textId="77777777" w:rsidR="00A0707B" w:rsidRPr="00D03F93" w:rsidRDefault="00A0707B" w:rsidP="000506D9">
      <w:pPr>
        <w:pStyle w:val="Style1"/>
        <w:ind w:left="709" w:hanging="709"/>
      </w:pPr>
      <w:r w:rsidRPr="00D03F93">
        <w:t>In assessing anticompetitive effects, the Commission conducts a forward-looking and inherently probabilistic analysis, relying on a broad range of evidence, including economic models, internal documents and market investigation results. While the parties provide key evidence, the Commission actively develops and tests theories of harm from the outset of the procedure.</w:t>
      </w:r>
    </w:p>
    <w:p w14:paraId="4A737A9E" w14:textId="4F01299D" w:rsidR="00A0707B" w:rsidRPr="00D03F93" w:rsidRDefault="00A0707B" w:rsidP="000506D9">
      <w:pPr>
        <w:pStyle w:val="Style1"/>
        <w:ind w:left="709" w:hanging="709"/>
      </w:pPr>
      <w:r w:rsidRPr="00D03F93">
        <w:t xml:space="preserve">A comparable approach does not appear to apply to efficiencies. While the </w:t>
      </w:r>
      <w:r w:rsidR="007E397F" w:rsidRPr="00D03F93">
        <w:t xml:space="preserve">Draft </w:t>
      </w:r>
      <w:r w:rsidRPr="00D03F93">
        <w:t xml:space="preserve">Guidelines encourage early engagement, they do not impose any obligation on the Commission to test plausible efficiencies claims in its market investigation. This omission is significant: in practice, the absence of an institutional obligation to investigate efficiencies reinforces the asymmetry in their treatment and may limit the practical impact of the </w:t>
      </w:r>
      <w:r w:rsidR="002D7F99">
        <w:t>“</w:t>
      </w:r>
      <w:r w:rsidRPr="00D03F93">
        <w:rPr>
          <w:i/>
          <w:iCs/>
        </w:rPr>
        <w:t>theory of benefit</w:t>
      </w:r>
      <w:r w:rsidR="002D7F99">
        <w:t>”</w:t>
      </w:r>
      <w:r w:rsidRPr="00D03F93">
        <w:t xml:space="preserve"> introduced by the Commission.</w:t>
      </w:r>
    </w:p>
    <w:p w14:paraId="4B33EB98" w14:textId="448B8198" w:rsidR="00A0707B" w:rsidRPr="00D03F93" w:rsidRDefault="00A0707B" w:rsidP="000506D9">
      <w:pPr>
        <w:pStyle w:val="Style1"/>
        <w:ind w:left="709" w:hanging="709"/>
      </w:pPr>
      <w:r w:rsidRPr="00D03F93">
        <w:t xml:space="preserve">This imbalance is further reflected in the formulation retained in the </w:t>
      </w:r>
      <w:r w:rsidR="00921D53" w:rsidRPr="00D03F93">
        <w:t xml:space="preserve">Draft </w:t>
      </w:r>
      <w:r w:rsidRPr="00D03F93">
        <w:t>Guidelines, which emphasizes that the Commission</w:t>
      </w:r>
      <w:r w:rsidR="002D7F99">
        <w:t>’</w:t>
      </w:r>
      <w:r w:rsidRPr="00D03F93">
        <w:t xml:space="preserve">s assessment is limited to </w:t>
      </w:r>
      <w:r w:rsidR="002D7F99">
        <w:t>“</w:t>
      </w:r>
      <w:r w:rsidRPr="00D03F93">
        <w:rPr>
          <w:i/>
          <w:iCs/>
        </w:rPr>
        <w:t>demonstrated efficiencies</w:t>
      </w:r>
      <w:r w:rsidR="002D7F99">
        <w:t>”</w:t>
      </w:r>
      <w:r w:rsidRPr="00D03F93">
        <w:t xml:space="preserve">. This wording suggests a more restrictive, potentially quasi-deterministic evidentiary threshold, which contrasts with the probabilistic nature of the assessment of anticompetitive effects. There is therefore a risk that anticompetitive effects continue to be established </w:t>
      </w:r>
      <w:proofErr w:type="gramStart"/>
      <w:r w:rsidRPr="00D03F93">
        <w:t>on the basis of</w:t>
      </w:r>
      <w:proofErr w:type="gramEnd"/>
      <w:r w:rsidRPr="00D03F93">
        <w:t xml:space="preserve"> forward-looking and probabilistic analysis, while efficiencies are required to meet a higher evidentiary threshold.</w:t>
      </w:r>
    </w:p>
    <w:p w14:paraId="21E20B26" w14:textId="532C9246" w:rsidR="00A0707B" w:rsidRPr="00D03F93" w:rsidRDefault="00F33CFF" w:rsidP="000506D9">
      <w:pPr>
        <w:pStyle w:val="Style1"/>
        <w:ind w:left="709" w:hanging="709"/>
      </w:pPr>
      <w:r w:rsidRPr="00D03F93">
        <w:t>Second, th</w:t>
      </w:r>
      <w:r w:rsidR="000944A2" w:rsidRPr="00D03F93">
        <w:t>is</w:t>
      </w:r>
      <w:r w:rsidRPr="00D03F93">
        <w:t xml:space="preserve"> </w:t>
      </w:r>
      <w:r w:rsidR="00A0707B" w:rsidRPr="00D03F93">
        <w:t xml:space="preserve">asymmetry is </w:t>
      </w:r>
      <w:r w:rsidR="000944A2" w:rsidRPr="00D03F93">
        <w:t xml:space="preserve">further </w:t>
      </w:r>
      <w:r w:rsidR="00A0707B" w:rsidRPr="00D03F93">
        <w:t xml:space="preserve">reinforced by the allocation of the burden of proof, which rests entirely on the notifying parties, without any corresponding obligation on the Commission to investigate efficiencies once they have been credibly put forward. This may constitute an important obstacle to the effectiveness of the framework. </w:t>
      </w:r>
    </w:p>
    <w:p w14:paraId="77D27DFA" w14:textId="36F780AE" w:rsidR="00A0707B" w:rsidRPr="00D03F93" w:rsidRDefault="00A0707B" w:rsidP="000506D9">
      <w:pPr>
        <w:pStyle w:val="Style1"/>
        <w:ind w:left="709" w:hanging="709"/>
      </w:pPr>
      <w:r w:rsidRPr="00D03F93">
        <w:t xml:space="preserve">While asymmetries of information may justify allocating the burden of proof to the parties for certain efficiencies — in particular internal cost synergies — this reasoning does not extend to all categories of efficiencies. For efficiencies relating to quality improvements, innovation, or other consumer-facing benefits, the Commission may be </w:t>
      </w:r>
      <w:r w:rsidRPr="00D03F93">
        <w:lastRenderedPageBreak/>
        <w:t>equally, if not better, placed to assess and quantify the expected benefits, notably through its market investigation and its ability to gather third-party evidence. This is particularly relevant where efficiencies depend on parameters such as consumers</w:t>
      </w:r>
      <w:r w:rsidR="002D7F99">
        <w:t>’</w:t>
      </w:r>
      <w:r w:rsidRPr="00D03F93">
        <w:t xml:space="preserve"> willingness to pay, which are inherently difficult for merging parties to substantiate </w:t>
      </w:r>
      <w:r w:rsidRPr="006340E6">
        <w:rPr>
          <w:i/>
          <w:iCs/>
        </w:rPr>
        <w:t>ex ante</w:t>
      </w:r>
      <w:r w:rsidRPr="00D03F93">
        <w:t>.</w:t>
      </w:r>
    </w:p>
    <w:p w14:paraId="6137E378" w14:textId="2F61CE65" w:rsidR="00A0707B" w:rsidRPr="00D03F93" w:rsidRDefault="00A0707B" w:rsidP="000506D9">
      <w:pPr>
        <w:pStyle w:val="Style1"/>
        <w:ind w:left="709" w:hanging="709"/>
      </w:pPr>
      <w:r w:rsidRPr="00D03F93">
        <w:t xml:space="preserve">The APDC therefore </w:t>
      </w:r>
      <w:r w:rsidR="00933302" w:rsidRPr="00D03F93">
        <w:t>invite</w:t>
      </w:r>
      <w:r w:rsidR="00501A17">
        <w:t>s</w:t>
      </w:r>
      <w:r w:rsidRPr="00D03F93">
        <w:t xml:space="preserve"> the Commission </w:t>
      </w:r>
      <w:r w:rsidR="00933302" w:rsidRPr="00D03F93">
        <w:t xml:space="preserve">to </w:t>
      </w:r>
      <w:r w:rsidRPr="00D03F93">
        <w:t>assume a more active role and bear part of the evidentiary burden once efficiencies have been credibly identified. Such an approach would not alter the legal framework but would ensure a more balanced and effective application of the standard of proof in practice. Absent such rebalancing, efficiencies are likely to remain difficult to invoke and of limited practical relevance in merger control.</w:t>
      </w:r>
    </w:p>
    <w:p w14:paraId="381E51FA" w14:textId="02B876DF" w:rsidR="00A0707B" w:rsidRPr="00D03F93" w:rsidRDefault="00A0707B" w:rsidP="000506D9">
      <w:pPr>
        <w:pStyle w:val="Style1"/>
        <w:ind w:left="709" w:hanging="709"/>
      </w:pPr>
      <w:r w:rsidRPr="00D03F93">
        <w:t>T</w:t>
      </w:r>
      <w:r w:rsidR="0064121B" w:rsidRPr="00D03F93">
        <w:t>hird, t</w:t>
      </w:r>
      <w:r w:rsidRPr="00D03F93">
        <w:t xml:space="preserve">he APDC also considers that the Commission could provide further guidance on the assessment of efficiencies that are long-term in nature or difficult to quantify, such as dynamic efficiencies in innovation-driven sectors. </w:t>
      </w:r>
    </w:p>
    <w:p w14:paraId="7E3BC66C" w14:textId="61650274" w:rsidR="00A0707B" w:rsidRPr="00D03F93" w:rsidRDefault="00A0707B" w:rsidP="000506D9">
      <w:pPr>
        <w:pStyle w:val="Style1"/>
        <w:ind w:left="709" w:hanging="709"/>
      </w:pPr>
      <w:r w:rsidRPr="00D03F93">
        <w:t>As regards the treatment of evidence, the Commission could clarify that the absence of references to efficiencies in internal documents should not</w:t>
      </w:r>
      <w:proofErr w:type="gramStart"/>
      <w:r w:rsidRPr="00D03F93">
        <w:t>, in itself, be</w:t>
      </w:r>
      <w:proofErr w:type="gramEnd"/>
      <w:r w:rsidRPr="00D03F93">
        <w:t xml:space="preserve"> interpreted as evidence of the absence of efficiencies. Such documents are typically prepared for specific corporate purposes </w:t>
      </w:r>
      <w:r w:rsidR="00393A8B" w:rsidRPr="00D03F93">
        <w:t>–</w:t>
      </w:r>
      <w:r w:rsidRPr="00D03F93">
        <w:t xml:space="preserve"> such as financial valuation or board approval </w:t>
      </w:r>
      <w:r w:rsidR="00393A8B" w:rsidRPr="00D03F93">
        <w:t xml:space="preserve">– </w:t>
      </w:r>
      <w:r w:rsidRPr="00D03F93">
        <w:t xml:space="preserve">which do not require a structured assessment of efficiencies from a competition law perspective. Conversely, documents prepared for the purposes of the notification may provide a more complete and relevant assessment of efficiencies, </w:t>
      </w:r>
      <w:proofErr w:type="gramStart"/>
      <w:r w:rsidRPr="00D03F93">
        <w:t>in particular in</w:t>
      </w:r>
      <w:proofErr w:type="gramEnd"/>
      <w:r w:rsidRPr="00D03F93">
        <w:t xml:space="preserve"> relation to innovation and R&amp;D complementarities, which may not be reflected in pre-existing documents due to their confidential and evolving nature.</w:t>
      </w:r>
    </w:p>
    <w:p w14:paraId="1071BEF3" w14:textId="77777777" w:rsidR="00AB4BF2" w:rsidRPr="00D03F93" w:rsidRDefault="00AB4BF2" w:rsidP="00AB4BF2">
      <w:pPr>
        <w:pStyle w:val="Firm1L1"/>
      </w:pPr>
      <w:r w:rsidRPr="00D03F93">
        <w:t>Overall, while the Draft Guidelines introduce a welcome clarification of the standard of proof, they do not ensure functional symmetry between the assessment of harm and efficiencies. This imbalance is particularly significant given that the Commission retains substantial discretion in the weighting and assessment of efficiency arguments.</w:t>
      </w:r>
    </w:p>
    <w:p w14:paraId="184709BF" w14:textId="47DAC199" w:rsidR="00A0707B" w:rsidRPr="00D03F93" w:rsidRDefault="00A0707B" w:rsidP="00BB75EE">
      <w:pPr>
        <w:pStyle w:val="Style1"/>
        <w:ind w:left="709" w:hanging="709"/>
      </w:pPr>
      <w:r w:rsidRPr="00D03F93">
        <w:t xml:space="preserve">A more balanced approach </w:t>
      </w:r>
      <w:r w:rsidR="00393A8B" w:rsidRPr="00D03F93">
        <w:t>–</w:t>
      </w:r>
      <w:r w:rsidRPr="00D03F93">
        <w:t xml:space="preserve"> both in the allocation of the burden of proof and in the practical application of evidentiary standards </w:t>
      </w:r>
      <w:r w:rsidR="00393A8B" w:rsidRPr="00D03F93">
        <w:t>–</w:t>
      </w:r>
      <w:r w:rsidRPr="00D03F93">
        <w:t xml:space="preserve"> </w:t>
      </w:r>
      <w:r w:rsidR="00393A8B" w:rsidRPr="00D03F93">
        <w:t>i</w:t>
      </w:r>
      <w:r w:rsidRPr="00D03F93">
        <w:t>s necessary to ensure a genuinely neutral assessment and to enable efficiencies to play a meaningful role in merger control, in line with the objectives of the EUMR and the realities of modern, innovation-driven markets.</w:t>
      </w:r>
    </w:p>
    <w:p w14:paraId="6E4B4F22" w14:textId="5C66664F" w:rsidR="00391839" w:rsidRPr="00D03F93" w:rsidRDefault="00391839" w:rsidP="006340E6">
      <w:pPr>
        <w:pStyle w:val="Firm5L2"/>
      </w:pPr>
      <w:r w:rsidRPr="00D03F93">
        <w:t>Balancing benefit and harm</w:t>
      </w:r>
    </w:p>
    <w:p w14:paraId="2EF9E946" w14:textId="514A60FD" w:rsidR="007E7548" w:rsidRPr="00D03F93" w:rsidRDefault="00791FE3" w:rsidP="007E7548">
      <w:pPr>
        <w:pStyle w:val="Style1"/>
        <w:ind w:left="709" w:hanging="709"/>
      </w:pPr>
      <w:r w:rsidRPr="00D03F93">
        <w:t>While</w:t>
      </w:r>
      <w:r w:rsidR="00A200B7" w:rsidRPr="00D03F93">
        <w:t xml:space="preserve"> the</w:t>
      </w:r>
      <w:r w:rsidRPr="00D03F93">
        <w:t xml:space="preserve"> </w:t>
      </w:r>
      <w:r w:rsidR="007E7548" w:rsidRPr="00D03F93">
        <w:t>APDC welcomes the Commission</w:t>
      </w:r>
      <w:r w:rsidR="002D7F99">
        <w:t>’</w:t>
      </w:r>
      <w:r w:rsidR="007E7548" w:rsidRPr="00D03F93">
        <w:t>s effort to integrate efficiencies more explicitly into the competitive assessment through the balancing of benefits and harm</w:t>
      </w:r>
      <w:r w:rsidR="00A200B7" w:rsidRPr="00D03F93">
        <w:t>,</w:t>
      </w:r>
      <w:r w:rsidR="007E7548" w:rsidRPr="00D03F93">
        <w:t xml:space="preserve"> </w:t>
      </w:r>
      <w:r w:rsidR="00A200B7" w:rsidRPr="00D03F93">
        <w:t>a</w:t>
      </w:r>
      <w:r w:rsidR="007E7548" w:rsidRPr="00D03F93">
        <w:t xml:space="preserve"> central concern relates to the asymmetry between the assessment of harm and efficiencies in the balancing exercise. While anticompetitive effects are typically established </w:t>
      </w:r>
      <w:proofErr w:type="gramStart"/>
      <w:r w:rsidR="007E7548" w:rsidRPr="00D03F93">
        <w:t>on the basis of</w:t>
      </w:r>
      <w:proofErr w:type="gramEnd"/>
      <w:r w:rsidR="007E7548" w:rsidRPr="00D03F93">
        <w:t xml:space="preserve"> forward-looking and probabilistic analysis, efficiencies remain subject to strict cumulative conditions, including merger-specificity, verifiability and the requirement to benefit consumers. This creates a risk that harm can be established more readily than efficiencies can be substantiated in response.</w:t>
      </w:r>
    </w:p>
    <w:p w14:paraId="4476FB38" w14:textId="77777777" w:rsidR="007E7548" w:rsidRPr="00D03F93" w:rsidRDefault="007E7548" w:rsidP="007E7548">
      <w:pPr>
        <w:pStyle w:val="Style1"/>
        <w:ind w:left="709" w:hanging="709"/>
      </w:pPr>
      <w:r w:rsidRPr="00D03F93">
        <w:lastRenderedPageBreak/>
        <w:t>In practice, the balancing framework may therefore require efficiencies to be sufficiently certain, immediate and measurable to offset identified harm, particularly in cases involving significant competitive concerns. Such a requirement is difficult to satisfy for efficiencies that are long-term, difficult to quantify or inherently uncertain, notably in innovation-driven sectors.</w:t>
      </w:r>
    </w:p>
    <w:p w14:paraId="2390768D" w14:textId="2D77B3DC" w:rsidR="007E7548" w:rsidRPr="00D03F93" w:rsidRDefault="007E7548" w:rsidP="007E7548">
      <w:pPr>
        <w:pStyle w:val="Style1"/>
        <w:ind w:left="709" w:hanging="709"/>
      </w:pPr>
      <w:r w:rsidRPr="00D03F93">
        <w:t>This concern is reinforced by the Commission</w:t>
      </w:r>
      <w:r w:rsidR="002D7F99">
        <w:t>’</w:t>
      </w:r>
      <w:r w:rsidRPr="00D03F93">
        <w:t>s discretion in the weighting of efficiencies, which may reduce predictability even where efficiencies are substantiated.</w:t>
      </w:r>
    </w:p>
    <w:p w14:paraId="7820C594" w14:textId="77777777" w:rsidR="007E7548" w:rsidRPr="00D03F93" w:rsidRDefault="007E7548" w:rsidP="007E7548">
      <w:pPr>
        <w:pStyle w:val="Style1"/>
        <w:ind w:left="709" w:hanging="709"/>
      </w:pPr>
      <w:r w:rsidRPr="00D03F93">
        <w:t>In addition, the framework appears to remain focused on short-term, price-based efficiencies. The requirement to demonstrate direct in-market consumer benefits may limit the consideration of broader efficiencies, such as those related to innovation, quality or resilience.</w:t>
      </w:r>
    </w:p>
    <w:p w14:paraId="1C48AE1D" w14:textId="77777777" w:rsidR="007E7548" w:rsidRPr="00D03F93" w:rsidRDefault="007E7548" w:rsidP="007E7548">
      <w:pPr>
        <w:pStyle w:val="Style1"/>
        <w:ind w:left="709" w:hanging="709"/>
      </w:pPr>
      <w:r w:rsidRPr="00D03F93">
        <w:t xml:space="preserve">Overall, while the balancing approach is a welcome clarification, further adjustments are necessary to ensure that efficiencies can be effectively </w:t>
      </w:r>
      <w:proofErr w:type="gramStart"/>
      <w:r w:rsidRPr="00D03F93">
        <w:t>taken into account</w:t>
      </w:r>
      <w:proofErr w:type="gramEnd"/>
      <w:r w:rsidRPr="00D03F93">
        <w:t xml:space="preserve"> in practice. </w:t>
      </w:r>
    </w:p>
    <w:p w14:paraId="51651C9D" w14:textId="77777777" w:rsidR="007E7548" w:rsidRPr="00D03F93" w:rsidRDefault="007E7548" w:rsidP="007E7548">
      <w:pPr>
        <w:pStyle w:val="Style1"/>
        <w:numPr>
          <w:ilvl w:val="0"/>
          <w:numId w:val="0"/>
        </w:numPr>
        <w:ind w:left="709" w:hanging="709"/>
      </w:pPr>
    </w:p>
    <w:p w14:paraId="32C140F4" w14:textId="315B8F8B" w:rsidR="0010533D" w:rsidRPr="00D03F93" w:rsidRDefault="0010533D"/>
    <w:p w14:paraId="0DE9B172" w14:textId="77777777" w:rsidR="000D7137" w:rsidRPr="00D03F93" w:rsidRDefault="000D7137">
      <w:pPr>
        <w:rPr>
          <w:rFonts w:eastAsia="SimSun" w:cs="Times New Roman"/>
          <w:b/>
        </w:rPr>
      </w:pPr>
      <w:r w:rsidRPr="00D03F93">
        <w:br w:type="page"/>
      </w:r>
    </w:p>
    <w:p w14:paraId="2FD09FFB" w14:textId="4725BDA8" w:rsidR="00391839" w:rsidRPr="00D03F93" w:rsidRDefault="00391839" w:rsidP="006340E6">
      <w:pPr>
        <w:pStyle w:val="Firm5L1"/>
      </w:pPr>
      <w:r w:rsidRPr="00D03F93">
        <w:lastRenderedPageBreak/>
        <w:t>MEASURES TO PROTECT LEGITIMATE INTERESTS</w:t>
      </w:r>
    </w:p>
    <w:p w14:paraId="09E82F60" w14:textId="643BD29D" w:rsidR="00AB4BF2" w:rsidRPr="00D03F93" w:rsidRDefault="00AB4BF2" w:rsidP="00AB4BF2">
      <w:pPr>
        <w:pStyle w:val="Firm1L1"/>
        <w:rPr>
          <w:kern w:val="2"/>
          <w:szCs w:val="22"/>
          <w:lang w:eastAsia="zh-CN"/>
          <w14:ligatures w14:val="standardContextual"/>
        </w:rPr>
      </w:pPr>
      <w:r w:rsidRPr="00D03F93">
        <w:rPr>
          <w:u w:val="single"/>
        </w:rPr>
        <w:t>General introduction</w:t>
      </w:r>
      <w:r w:rsidRPr="00D03F93">
        <w:t xml:space="preserve">. Regarding the part on legitimate interests, the APDC focuses its comments on </w:t>
      </w:r>
      <w:r w:rsidRPr="00D03F93">
        <w:rPr>
          <w:b/>
          <w:bCs/>
        </w:rPr>
        <w:t>(A)</w:t>
      </w:r>
      <w:r w:rsidRPr="00D03F93">
        <w:t xml:space="preserve"> the substantive assessment of legitimate interests, and of the compatibility of national measures with the general principles and other provisions of EU law, and </w:t>
      </w:r>
      <w:r w:rsidRPr="00D03F93">
        <w:rPr>
          <w:b/>
          <w:bCs/>
        </w:rPr>
        <w:t>(B)</w:t>
      </w:r>
      <w:r w:rsidRPr="00D03F93">
        <w:t xml:space="preserve"> the procedural framework concerning standstill obligations and the merging parties</w:t>
      </w:r>
      <w:r w:rsidR="002D7F99">
        <w:t>’</w:t>
      </w:r>
      <w:r w:rsidRPr="00D03F93">
        <w:t xml:space="preserve"> rights.</w:t>
      </w:r>
    </w:p>
    <w:p w14:paraId="71961F7F" w14:textId="0C599296" w:rsidR="00391839" w:rsidRPr="00D03F93" w:rsidRDefault="000D7137" w:rsidP="006340E6">
      <w:pPr>
        <w:pStyle w:val="Firm5L2"/>
        <w:rPr>
          <w:caps/>
        </w:rPr>
      </w:pPr>
      <w:r w:rsidRPr="00D03F93">
        <w:t>Substantive assessment</w:t>
      </w:r>
    </w:p>
    <w:p w14:paraId="76A846F8" w14:textId="4A2516DF" w:rsidR="00391839" w:rsidRPr="00D03F93" w:rsidRDefault="00391839" w:rsidP="006340E6">
      <w:pPr>
        <w:pStyle w:val="Firm5L3"/>
      </w:pPr>
      <w:r w:rsidRPr="00D03F93">
        <w:t>Notion of legitimate interests</w:t>
      </w:r>
    </w:p>
    <w:p w14:paraId="0D12BC1A" w14:textId="3F5031D2" w:rsidR="00391839" w:rsidRPr="00D03F93" w:rsidRDefault="00391839" w:rsidP="000D7137">
      <w:pPr>
        <w:pStyle w:val="Sch1L8"/>
        <w:ind w:firstLine="720"/>
      </w:pPr>
      <w:r w:rsidRPr="00D03F93">
        <w:t>Recognised interests</w:t>
      </w:r>
    </w:p>
    <w:p w14:paraId="22C6F4E2" w14:textId="660BCD1D" w:rsidR="00391839" w:rsidRPr="00D03F93" w:rsidRDefault="00EE6A4C" w:rsidP="0037427F">
      <w:pPr>
        <w:pStyle w:val="Style1"/>
      </w:pPr>
      <w:r w:rsidRPr="00D03F93">
        <w:t xml:space="preserve">The </w:t>
      </w:r>
      <w:r w:rsidR="00FE5862" w:rsidRPr="00D03F93">
        <w:t xml:space="preserve">APDC notes that the </w:t>
      </w:r>
      <w:r w:rsidRPr="00D03F93">
        <w:t>notion of public security is particularly broad. While the Draft Guidelines recall that public security must be interpreted strictly and cannot serve purely economic ends, Member States</w:t>
      </w:r>
      <w:r w:rsidR="002D7F99">
        <w:t>’</w:t>
      </w:r>
      <w:r w:rsidRPr="00D03F93">
        <w:t xml:space="preserve"> FDI regimes generally have broad discretion in determining what qualifies as public security. It is therefore possible that many measures adopted by Member States may effectively fall outside the mandatory notification requirement. </w:t>
      </w:r>
    </w:p>
    <w:p w14:paraId="3CBBAA6D" w14:textId="2BC1BECA" w:rsidR="00EE6A4C" w:rsidRPr="00D03F93" w:rsidRDefault="00D323CF" w:rsidP="000506D9">
      <w:pPr>
        <w:pStyle w:val="Style1"/>
        <w:tabs>
          <w:tab w:val="clear" w:pos="360"/>
          <w:tab w:val="num" w:pos="1080"/>
        </w:tabs>
        <w:ind w:left="709" w:hanging="709"/>
      </w:pPr>
      <w:r w:rsidRPr="00D03F93">
        <w:t>Concerning m</w:t>
      </w:r>
      <w:r w:rsidR="00DB55E4" w:rsidRPr="00D03F93">
        <w:t>easures with respect to EU investors</w:t>
      </w:r>
      <w:r w:rsidRPr="00D03F93">
        <w:t>,</w:t>
      </w:r>
      <w:r w:rsidR="00DB55E4" w:rsidRPr="00D03F93">
        <w:t xml:space="preserve"> </w:t>
      </w:r>
      <w:r w:rsidRPr="00D03F93">
        <w:t>t</w:t>
      </w:r>
      <w:r w:rsidR="00DB55E4" w:rsidRPr="00D03F93">
        <w:t xml:space="preserve">he Draft Guidelines provide the welcome clarification that Member States adopting measures to protect public security impacting a merger involving an EU investor would need to adequately substantiate such measures. However, it raises three practical questions. First, it is unclear in which procedural context this substantiation requirement applies. Since measures falling within the recognised interest of </w:t>
      </w:r>
      <w:r w:rsidR="002D7F99">
        <w:t>“</w:t>
      </w:r>
      <w:r w:rsidR="00DB55E4" w:rsidRPr="00D03F93">
        <w:rPr>
          <w:i/>
          <w:iCs/>
        </w:rPr>
        <w:t>public security</w:t>
      </w:r>
      <w:r w:rsidR="002D7F99">
        <w:t>”</w:t>
      </w:r>
      <w:r w:rsidR="00DB55E4" w:rsidRPr="00D03F93">
        <w:t xml:space="preserve"> are exempt from prior notification to the Commission, the substantiation obligation would presumably arise only in the context of the advance notice referred to in </w:t>
      </w:r>
      <w:r w:rsidR="007570B0" w:rsidRPr="00D03F93">
        <w:t>para.</w:t>
      </w:r>
      <w:r w:rsidR="00DB55E4" w:rsidRPr="00D03F93">
        <w:t xml:space="preserve"> 391 of the Draft Guidelines. Second, it is uncertain how this substantiation will operate in practice where national FDI regimes do not differentiate their assessment based on the investor</w:t>
      </w:r>
      <w:r w:rsidR="002D7F99">
        <w:t>’</w:t>
      </w:r>
      <w:r w:rsidR="00DB55E4" w:rsidRPr="00D03F93">
        <w:t xml:space="preserve">s origin. In such regimes, requiring the Member State to demonstrate that an EU investor poses a specific security concern </w:t>
      </w:r>
      <w:r w:rsidR="00B43C9D" w:rsidRPr="00D03F93">
        <w:t>–</w:t>
      </w:r>
      <w:r w:rsidR="00DB55E4" w:rsidRPr="00D03F93">
        <w:t xml:space="preserve"> as distinct from the general risk posed by the transaction </w:t>
      </w:r>
      <w:r w:rsidR="00B43C9D" w:rsidRPr="00D03F93">
        <w:t>–</w:t>
      </w:r>
      <w:r w:rsidR="00DB55E4" w:rsidRPr="00D03F93">
        <w:t xml:space="preserve"> could prove difficult. Third, the Draft Guidelines do not specify the standard of review of the Commission that would apply. </w:t>
      </w:r>
      <w:proofErr w:type="gramStart"/>
      <w:r w:rsidR="00DB55E4" w:rsidRPr="00D03F93">
        <w:t>In particular, it</w:t>
      </w:r>
      <w:proofErr w:type="gramEnd"/>
      <w:r w:rsidR="00DB55E4" w:rsidRPr="00D03F93">
        <w:t xml:space="preserve"> is unclear whether it would be sufficient for the Member State to provide reasons for imposing remedies, or whether the Commission would go further and assess whether a different outcome would have resulted had the investor been non-European.</w:t>
      </w:r>
    </w:p>
    <w:p w14:paraId="45AD47DC" w14:textId="02941F35" w:rsidR="00391839" w:rsidRPr="00D03F93" w:rsidRDefault="00391839" w:rsidP="000D7137">
      <w:pPr>
        <w:pStyle w:val="Sch1L8"/>
        <w:ind w:firstLine="720"/>
      </w:pPr>
      <w:r w:rsidRPr="00D03F93">
        <w:t>Other public interests</w:t>
      </w:r>
    </w:p>
    <w:p w14:paraId="23AAA0E2" w14:textId="06FFEA68" w:rsidR="00391839" w:rsidRPr="00D03F93" w:rsidRDefault="00B00869" w:rsidP="00B00869">
      <w:pPr>
        <w:pStyle w:val="Style1"/>
      </w:pPr>
      <w:r w:rsidRPr="00D03F93">
        <w:t>Further guidance is required regarding the treatment of other public interests under the Draft Guidelines, as the limited examples currently provided risk creating uncertainty and inconsistent approaches across Member States</w:t>
      </w:r>
      <w:r w:rsidR="008977AC" w:rsidRPr="00D03F93">
        <w:t xml:space="preserve">. Additional guidance (e.g. a non-exhaustive typology of accepted/rejected interests) would be helpful. Greater clarity would also be useful on how </w:t>
      </w:r>
      <w:r w:rsidR="002D7F99">
        <w:t>“</w:t>
      </w:r>
      <w:r w:rsidR="008977AC" w:rsidRPr="00D03F93">
        <w:rPr>
          <w:i/>
          <w:iCs/>
        </w:rPr>
        <w:t>other public interests</w:t>
      </w:r>
      <w:r w:rsidR="002D7F99">
        <w:t>”</w:t>
      </w:r>
      <w:r w:rsidR="008977AC" w:rsidRPr="00D03F93">
        <w:t xml:space="preserve"> relate to emerging EU industrial policy objectives (e.g. strategic autonomy, ESG, digital sovereignty), which increasingly inform national intervention strategies.</w:t>
      </w:r>
      <w:r w:rsidR="008977AC" w:rsidRPr="00D03F93" w:rsidDel="008977AC">
        <w:t xml:space="preserve"> </w:t>
      </w:r>
    </w:p>
    <w:p w14:paraId="63EACF66" w14:textId="5A4E23EE" w:rsidR="00391839" w:rsidRPr="00D03F93" w:rsidRDefault="00391839" w:rsidP="006340E6">
      <w:pPr>
        <w:pStyle w:val="Firm5L3"/>
        <w:keepNext/>
      </w:pPr>
      <w:r w:rsidRPr="00D03F93">
        <w:lastRenderedPageBreak/>
        <w:t>Compatibility with the general principles of EU law</w:t>
      </w:r>
    </w:p>
    <w:p w14:paraId="422358F7" w14:textId="7158FB7B" w:rsidR="00391839" w:rsidRPr="00D03F93" w:rsidRDefault="00AF4EB6" w:rsidP="00A05AE4">
      <w:pPr>
        <w:pStyle w:val="Style1"/>
      </w:pPr>
      <w:r w:rsidRPr="00D03F93">
        <w:t>T</w:t>
      </w:r>
      <w:r w:rsidR="00A05AE4" w:rsidRPr="00D03F93">
        <w:t>he general lack of publicity surrounding FDI decisions raises </w:t>
      </w:r>
      <w:r w:rsidRPr="00D03F93">
        <w:t>significant practical challenges in demonstrating t</w:t>
      </w:r>
      <w:r w:rsidR="00924810" w:rsidRPr="00D03F93">
        <w:t xml:space="preserve">hat the measures taken by Member States are not proportionate or discriminatory compared to what would have been imposed in a distinct (but comparable) situation. With respect to proportionality, it is useful to explicitly recognise that certain measures can result in the merger plans being abandoned. </w:t>
      </w:r>
    </w:p>
    <w:p w14:paraId="535A960A" w14:textId="02C53516" w:rsidR="00391839" w:rsidRPr="00D03F93" w:rsidRDefault="00391839" w:rsidP="006340E6">
      <w:pPr>
        <w:pStyle w:val="Firm5L3"/>
      </w:pPr>
      <w:r w:rsidRPr="00D03F93">
        <w:t>Compatibility with other provisions of EU law</w:t>
      </w:r>
    </w:p>
    <w:p w14:paraId="553ACF27" w14:textId="486F499F" w:rsidR="00391839" w:rsidRPr="00D03F93" w:rsidRDefault="00A6146B" w:rsidP="0037427F">
      <w:pPr>
        <w:pStyle w:val="Style1"/>
      </w:pPr>
      <w:r w:rsidRPr="00D03F93">
        <w:t xml:space="preserve">A more detailed clarification of the relationship between the FDI Regulation and the EUMR would be welcomed. In particular, the FDI Regulation refers to </w:t>
      </w:r>
      <w:r w:rsidR="002D7F99">
        <w:t>‘</w:t>
      </w:r>
      <w:r w:rsidRPr="00D03F93">
        <w:t>security or public order</w:t>
      </w:r>
      <w:r w:rsidR="002D7F99">
        <w:t>’</w:t>
      </w:r>
      <w:r w:rsidRPr="00D03F93">
        <w:t xml:space="preserve">, whereas Article 21(4) refers to </w:t>
      </w:r>
      <w:r w:rsidR="002D7F99">
        <w:t>‘</w:t>
      </w:r>
      <w:r w:rsidRPr="00D03F93">
        <w:t>public security</w:t>
      </w:r>
      <w:r w:rsidR="002D7F99">
        <w:t>’</w:t>
      </w:r>
      <w:r w:rsidRPr="00D03F93">
        <w:t xml:space="preserve"> </w:t>
      </w:r>
      <w:r w:rsidR="00B43C9D" w:rsidRPr="00D03F93">
        <w:t>–</w:t>
      </w:r>
      <w:r w:rsidRPr="00D03F93">
        <w:t xml:space="preserve"> </w:t>
      </w:r>
      <w:r w:rsidR="00B43C9D" w:rsidRPr="00D03F93">
        <w:t>i</w:t>
      </w:r>
      <w:r w:rsidRPr="00D03F93">
        <w:t>t would be helpful to clarify whether measures to protect public order recognised under the FDI Regulation benefit from the presumption of compatibility under para. 389 of the Draft Guidelines. Additionally, notification to the Commission should be aligned with the EU cooperation mechanism under the current and new Draft FDI Regulation.</w:t>
      </w:r>
      <w:r w:rsidRPr="00D03F93" w:rsidDel="00A6146B">
        <w:t xml:space="preserve"> </w:t>
      </w:r>
    </w:p>
    <w:p w14:paraId="4C29FCFC" w14:textId="19EF45DE" w:rsidR="00391839" w:rsidRPr="00D03F93" w:rsidRDefault="000D7137" w:rsidP="006340E6">
      <w:pPr>
        <w:pStyle w:val="Firm5L2"/>
      </w:pPr>
      <w:r w:rsidRPr="00D03F93">
        <w:t>Procedural Framework</w:t>
      </w:r>
    </w:p>
    <w:p w14:paraId="2FC4B90F" w14:textId="6A2D5B50" w:rsidR="00A4537A" w:rsidRPr="00D03F93" w:rsidRDefault="008B5E53" w:rsidP="00F46B47">
      <w:pPr>
        <w:pStyle w:val="Style1"/>
      </w:pPr>
      <w:r w:rsidRPr="00D03F93">
        <w:t>First, k</w:t>
      </w:r>
      <w:r w:rsidR="00F46B47" w:rsidRPr="00D03F93">
        <w:t xml:space="preserve">ey procedural concepts require further clarification to enhance predictability for transaction parties. </w:t>
      </w:r>
      <w:r w:rsidRPr="00D03F93">
        <w:t>C</w:t>
      </w:r>
      <w:r w:rsidR="00A4537A" w:rsidRPr="00D03F93">
        <w:t xml:space="preserve">ertain notions such as </w:t>
      </w:r>
      <w:r w:rsidR="002D7F99">
        <w:t>“</w:t>
      </w:r>
      <w:r w:rsidR="00A4537A" w:rsidRPr="00D03F93">
        <w:rPr>
          <w:i/>
          <w:iCs/>
        </w:rPr>
        <w:t>reasonable doubt</w:t>
      </w:r>
      <w:r w:rsidR="002D7F99">
        <w:t>”</w:t>
      </w:r>
      <w:r w:rsidR="00A4537A" w:rsidRPr="00D03F93">
        <w:t xml:space="preserve"> triggering notification/standstill obligations would benefit from more detailed guidance. </w:t>
      </w:r>
    </w:p>
    <w:p w14:paraId="28FC4081" w14:textId="6914EAB2" w:rsidR="00A4537A" w:rsidRPr="00D03F93" w:rsidRDefault="008B5E53" w:rsidP="003B111B">
      <w:pPr>
        <w:pStyle w:val="Style1"/>
      </w:pPr>
      <w:r w:rsidRPr="00D03F93">
        <w:t>Second, t</w:t>
      </w:r>
      <w:r w:rsidR="003B111B" w:rsidRPr="00D03F93">
        <w:t xml:space="preserve">he procedural rights of merging parties must be more adequately addressed, as the Draft Guidelines currently frame the process primarily as a dialogue between the Commission and Member States </w:t>
      </w:r>
      <w:r w:rsidR="00A4537A" w:rsidRPr="00D03F93">
        <w:t>without sufficiently addressing the position of merging parties. In practice, companies learn of proposed remedies quite late in the FDI review process. It would be useful to clarify whether, and at what stage, merging parties may submit observations in the Commission</w:t>
      </w:r>
      <w:r w:rsidR="002D7F99">
        <w:t>’</w:t>
      </w:r>
      <w:r w:rsidR="00A4537A" w:rsidRPr="00D03F93">
        <w:t>s assessment, and whether they will have access to relevant non-confidential information. It would be particularly important to give parties the opportunity to submit comments on extraordinary measures which prohibit a transaction or effectively cause the parties to abandon it.</w:t>
      </w:r>
    </w:p>
    <w:p w14:paraId="70435659" w14:textId="58CCE9F6" w:rsidR="00A4537A" w:rsidRPr="00D03F93" w:rsidRDefault="00473DE0" w:rsidP="0054242B">
      <w:pPr>
        <w:pStyle w:val="Style1"/>
      </w:pPr>
      <w:r w:rsidRPr="00D03F93">
        <w:t>Third, t</w:t>
      </w:r>
      <w:r w:rsidR="0054242B" w:rsidRPr="00D03F93">
        <w:t>o address the potential impact on timing, the Commission should</w:t>
      </w:r>
      <w:r w:rsidR="00371D5B" w:rsidRPr="00D03F93">
        <w:t xml:space="preserve"> </w:t>
      </w:r>
      <w:r w:rsidR="00A4537A" w:rsidRPr="00D03F93">
        <w:t>consider imposing deadlines for Member States both to notify and to communicate the measures they intend to adopt, to provide merging parties with predictability on transaction timing and avoid as much as possible unnecessary delays.</w:t>
      </w:r>
    </w:p>
    <w:p w14:paraId="53E1E0F3" w14:textId="042755D4" w:rsidR="006A5DA2" w:rsidRPr="00D03F93" w:rsidRDefault="008B13B9" w:rsidP="000D7137">
      <w:pPr>
        <w:pStyle w:val="Style1"/>
      </w:pPr>
      <w:r w:rsidRPr="00D03F93">
        <w:t>Finally, to enhance t</w:t>
      </w:r>
      <w:r w:rsidR="00A4537A" w:rsidRPr="00D03F93">
        <w:t>ransparency and accountability</w:t>
      </w:r>
      <w:r w:rsidRPr="00D03F93">
        <w:t>, f</w:t>
      </w:r>
      <w:r w:rsidR="00A4537A" w:rsidRPr="00D03F93">
        <w:t>urther clarification would be welcome regarding the legal status, reviewability, and transparency of comfort letters, including whether they should be published in redacted form. The APDC also questions the absence of public consultations open to third parties, which could provide useful insight into the functioning of certain sectors (only where these do not concern public security interests). Finally, the Draft Guidelines could usefully confirm the ability of affected parties to challenge Commission decisions under Article 21(4), thereby reinforcing procedural safeguards and legal certainty.</w:t>
      </w:r>
      <w:r w:rsidR="00A4537A" w:rsidRPr="00D03F93" w:rsidDel="00A4537A">
        <w:t xml:space="preserve"> </w:t>
      </w:r>
    </w:p>
    <w:sectPr w:rsidR="006A5DA2" w:rsidRPr="00D03F93" w:rsidSect="00995AE4">
      <w:headerReference w:type="default" r:id="rId12"/>
      <w:footerReference w:type="default" r:id="rId13"/>
      <w:headerReference w:type="first" r:id="rId14"/>
      <w:footerReference w:type="first" r:id="rId15"/>
      <w:pgSz w:w="11909" w:h="16834"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B564" w14:textId="77777777" w:rsidR="003D0B16" w:rsidRPr="008C37D6" w:rsidRDefault="003D0B16">
      <w:r w:rsidRPr="008C37D6">
        <w:separator/>
      </w:r>
    </w:p>
  </w:endnote>
  <w:endnote w:type="continuationSeparator" w:id="0">
    <w:p w14:paraId="3B15AC34" w14:textId="77777777" w:rsidR="003D0B16" w:rsidRPr="008C37D6" w:rsidRDefault="003D0B16">
      <w:r w:rsidRPr="008C3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eshfields Text">
    <w:panose1 w:val="020B0503030302020203"/>
    <w:charset w:val="00"/>
    <w:family w:val="swiss"/>
    <w:pitch w:val="variable"/>
    <w:sig w:usb0="2000004F" w:usb1="00006060" w:usb2="00000000" w:usb3="00000000" w:csb0="00000193" w:csb1="00000000"/>
  </w:font>
  <w:font w:name="Tahoma">
    <w:panose1 w:val="020B0604030504040204"/>
    <w:charset w:val="00"/>
    <w:family w:val="swiss"/>
    <w:pitch w:val="variable"/>
    <w:sig w:usb0="E1002EFF" w:usb1="C000605B" w:usb2="00000029" w:usb3="00000000" w:csb0="000101FF" w:csb1="00000000"/>
  </w:font>
  <w:font w:name="Freshfields Headline">
    <w:panose1 w:val="02040502080504020203"/>
    <w:charset w:val="00"/>
    <w:family w:val="roman"/>
    <w:pitch w:val="variable"/>
    <w:sig w:usb0="2000004F" w:usb1="00006060" w:usb2="00000000" w:usb3="00000000" w:csb0="00000193" w:csb1="00000000"/>
  </w:font>
  <w:font w:name="SimHei">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425392"/>
      <w:docPartObj>
        <w:docPartGallery w:val="Page Numbers (Bottom of Page)"/>
        <w:docPartUnique/>
      </w:docPartObj>
    </w:sdtPr>
    <w:sdtContent>
      <w:p w14:paraId="758AD173" w14:textId="2DF23D63" w:rsidR="000D7137" w:rsidRDefault="000D7137">
        <w:pPr>
          <w:pStyle w:val="Footer"/>
          <w:jc w:val="center"/>
        </w:pPr>
        <w:r>
          <w:fldChar w:fldCharType="begin"/>
        </w:r>
        <w:r>
          <w:instrText>PAGE   \* MERGEFORMAT</w:instrText>
        </w:r>
        <w:r>
          <w:fldChar w:fldCharType="separate"/>
        </w:r>
        <w:r>
          <w:rPr>
            <w:lang w:val="fr-FR"/>
          </w:rPr>
          <w:t>2</w:t>
        </w:r>
        <w:r>
          <w:fldChar w:fldCharType="end"/>
        </w:r>
      </w:p>
    </w:sdtContent>
  </w:sdt>
  <w:p w14:paraId="5F5C5DE4" w14:textId="77777777" w:rsidR="000D7137" w:rsidRDefault="000D7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16C3" w14:textId="77777777" w:rsidR="00945189" w:rsidRPr="008C37D6" w:rsidRDefault="0035044D" w:rsidP="0012690D">
    <w:pPr>
      <w:pStyle w:val="Footer"/>
    </w:pPr>
    <w:r w:rsidRPr="008C37D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DAD0D" w14:textId="77777777" w:rsidR="003D0B16" w:rsidRPr="008C37D6" w:rsidRDefault="003D0B16">
      <w:r w:rsidRPr="008C37D6">
        <w:separator/>
      </w:r>
    </w:p>
  </w:footnote>
  <w:footnote w:type="continuationSeparator" w:id="0">
    <w:p w14:paraId="03995206" w14:textId="77777777" w:rsidR="003D0B16" w:rsidRPr="008C37D6" w:rsidRDefault="003D0B16">
      <w:r w:rsidRPr="008C37D6">
        <w:continuationSeparator/>
      </w:r>
    </w:p>
  </w:footnote>
  <w:footnote w:id="1">
    <w:p w14:paraId="670052D2" w14:textId="72D8FAD9" w:rsidR="00F82788" w:rsidRPr="00F82788" w:rsidRDefault="00F82788" w:rsidP="006340E6">
      <w:pPr>
        <w:pStyle w:val="FootnoteText"/>
      </w:pPr>
      <w:r>
        <w:rPr>
          <w:rStyle w:val="FootnoteReference"/>
        </w:rPr>
        <w:footnoteRef/>
      </w:r>
      <w:r>
        <w:t xml:space="preserve"> </w:t>
      </w:r>
      <w:r>
        <w:tab/>
      </w:r>
      <w:r w:rsidRPr="00F82788">
        <w:t>Guidelines on the assessment of horizontal mergers under the Council Regulation on the control of concentrations between undertakings</w:t>
      </w:r>
      <w:r>
        <w:t>,</w:t>
      </w:r>
      <w:r w:rsidRPr="00F82788">
        <w:t xml:space="preserve"> </w:t>
      </w:r>
      <w:r>
        <w:t>OJ</w:t>
      </w:r>
      <w:r w:rsidRPr="00F82788">
        <w:t xml:space="preserve"> C 031 , 05/02/2004 P. 0005 </w:t>
      </w:r>
      <w:r>
        <w:t>–</w:t>
      </w:r>
      <w:r w:rsidRPr="00F82788">
        <w:t xml:space="preserve"> 0018</w:t>
      </w:r>
      <w:r>
        <w:t xml:space="preserve"> </w:t>
      </w:r>
      <w:r w:rsidRPr="00F82788">
        <w:t>(</w:t>
      </w:r>
      <w:r w:rsidR="002D7F99">
        <w:t>“</w:t>
      </w:r>
      <w:r w:rsidRPr="00F82788">
        <w:rPr>
          <w:b/>
          <w:bCs/>
        </w:rPr>
        <w:t>Horizontal Guidelines</w:t>
      </w:r>
      <w:r w:rsidR="002D7F99">
        <w:t>”</w:t>
      </w:r>
      <w:r w:rsidRPr="00F82788">
        <w:t xml:space="preserve">) and Guidelines on the assessment of non-horizontal mergers under the Council Regulation on the control of concentrations between undertakings OJ C 265, 18.10.2008, pp. 6–25 (the </w:t>
      </w:r>
      <w:r w:rsidR="002D7F99">
        <w:t>“</w:t>
      </w:r>
      <w:r w:rsidRPr="00F82788">
        <w:rPr>
          <w:b/>
          <w:bCs/>
        </w:rPr>
        <w:t>Non-Horizontal Guidelines</w:t>
      </w:r>
      <w:r w:rsidR="002D7F99">
        <w:t>”</w:t>
      </w:r>
      <w:r w:rsidRPr="00F82788">
        <w:t>)</w:t>
      </w:r>
      <w:r>
        <w:t>.</w:t>
      </w:r>
    </w:p>
  </w:footnote>
  <w:footnote w:id="2">
    <w:p w14:paraId="66849807" w14:textId="091C45F4" w:rsidR="00B24C9E" w:rsidRPr="00090708" w:rsidRDefault="00B24C9E" w:rsidP="006340E6">
      <w:pPr>
        <w:pStyle w:val="FootnoteText"/>
      </w:pPr>
      <w:r>
        <w:rPr>
          <w:rStyle w:val="FootnoteReference"/>
        </w:rPr>
        <w:footnoteRef/>
      </w:r>
      <w:r>
        <w:t xml:space="preserve"> </w:t>
      </w:r>
      <w:r w:rsidRPr="00C05B22">
        <w:tab/>
      </w:r>
      <w:r>
        <w:t>Para</w:t>
      </w:r>
      <w:r w:rsidR="00D80B67">
        <w:t>.</w:t>
      </w:r>
      <w:r>
        <w:t xml:space="preserve"> 50 of the </w:t>
      </w:r>
      <w:r w:rsidRPr="00EA67FA">
        <w:t>Draft</w:t>
      </w:r>
      <w:r>
        <w:t xml:space="preserve"> Guidelines seem to imply that the Commission would not accept such a scenario. The Commission indeed specifies that a failing division theory could only be </w:t>
      </w:r>
      <w:proofErr w:type="gramStart"/>
      <w:r>
        <w:t>taken into account</w:t>
      </w:r>
      <w:proofErr w:type="gramEnd"/>
      <w:r>
        <w:t xml:space="preserve"> when the division is </w:t>
      </w:r>
      <w:r>
        <w:rPr>
          <w:i/>
          <w:iCs/>
        </w:rPr>
        <w:t xml:space="preserve">not </w:t>
      </w:r>
      <w:r>
        <w:t xml:space="preserve">failing </w:t>
      </w:r>
      <w:proofErr w:type="gramStart"/>
      <w:r>
        <w:t>as a result of</w:t>
      </w:r>
      <w:proofErr w:type="gramEnd"/>
      <w:r>
        <w:t xml:space="preserve"> a management decision to discontinue an underperforming business. </w:t>
      </w:r>
    </w:p>
  </w:footnote>
  <w:footnote w:id="3">
    <w:p w14:paraId="07C92C79" w14:textId="77777777" w:rsidR="00B24C9E" w:rsidRPr="00090708" w:rsidRDefault="00B24C9E" w:rsidP="006340E6">
      <w:pPr>
        <w:pStyle w:val="FootnoteText"/>
      </w:pPr>
      <w:r>
        <w:rPr>
          <w:rStyle w:val="FootnoteReference"/>
        </w:rPr>
        <w:footnoteRef/>
      </w:r>
      <w:r>
        <w:t xml:space="preserve"> </w:t>
      </w:r>
      <w:r w:rsidRPr="00090708">
        <w:tab/>
        <w:t xml:space="preserve">Or no less anticompetitive </w:t>
      </w:r>
      <w:r>
        <w:t xml:space="preserve">alternative </w:t>
      </w:r>
      <w:r w:rsidRPr="00090708">
        <w:t>mergers.</w:t>
      </w:r>
      <w:r>
        <w:t xml:space="preserve"> </w:t>
      </w:r>
    </w:p>
  </w:footnote>
  <w:footnote w:id="4">
    <w:p w14:paraId="4BBBCEF6" w14:textId="77777777" w:rsidR="00B24C9E" w:rsidRPr="00855071" w:rsidRDefault="00B24C9E" w:rsidP="006340E6">
      <w:pPr>
        <w:pStyle w:val="FootnoteText"/>
      </w:pPr>
      <w:r>
        <w:rPr>
          <w:rStyle w:val="FootnoteReference"/>
        </w:rPr>
        <w:footnoteRef/>
      </w:r>
      <w:r>
        <w:t xml:space="preserve"> </w:t>
      </w:r>
      <w:r w:rsidRPr="00855071">
        <w:tab/>
        <w:t xml:space="preserve">Commission, 11 August 2025, M.11936, Naspers / Just Eat </w:t>
      </w:r>
      <w:r w:rsidRPr="00EA67FA">
        <w:t>Takeaway</w:t>
      </w:r>
      <w:r w:rsidRPr="00855071">
        <w:t>, para 11</w:t>
      </w:r>
      <w:r>
        <w:t>.</w:t>
      </w:r>
    </w:p>
  </w:footnote>
  <w:footnote w:id="5">
    <w:p w14:paraId="794BA88C" w14:textId="36D0E8F5" w:rsidR="00630CB4" w:rsidRPr="00630CB4" w:rsidRDefault="00630CB4" w:rsidP="006340E6">
      <w:pPr>
        <w:pStyle w:val="FootnoteText"/>
      </w:pPr>
      <w:r>
        <w:rPr>
          <w:rStyle w:val="FootnoteReference"/>
        </w:rPr>
        <w:footnoteRef/>
      </w:r>
      <w:r>
        <w:t xml:space="preserve"> </w:t>
      </w:r>
      <w:r>
        <w:tab/>
      </w:r>
      <w:r w:rsidR="008707E4">
        <w:t>By</w:t>
      </w:r>
      <w:r w:rsidR="00D15A46">
        <w:t xml:space="preserve"> consistency with the </w:t>
      </w:r>
      <w:r w:rsidRPr="00630CB4">
        <w:t>Commission Notice on a simplified treatment for certain concentrations under Council Regulation (EC) No 139/2004 on the control of concentrations between undertakings 2023/C 160/01</w:t>
      </w:r>
      <w:r>
        <w:t>.</w:t>
      </w:r>
    </w:p>
    <w:p w14:paraId="30ED1F45" w14:textId="668E0143" w:rsidR="00630CB4" w:rsidRPr="00630CB4" w:rsidRDefault="00630CB4">
      <w:pPr>
        <w:pStyle w:val="FootnoteText"/>
      </w:pPr>
    </w:p>
  </w:footnote>
  <w:footnote w:id="6">
    <w:p w14:paraId="69FFC4C9" w14:textId="77777777" w:rsidR="00391839" w:rsidRPr="000506D9" w:rsidRDefault="00391839" w:rsidP="00391839">
      <w:pPr>
        <w:pStyle w:val="FootnoteText"/>
        <w:rPr>
          <w:rFonts w:asciiTheme="majorBidi" w:hAnsiTheme="majorBidi" w:cstheme="majorBidi"/>
        </w:rPr>
      </w:pPr>
      <w:r w:rsidRPr="00763039">
        <w:rPr>
          <w:rStyle w:val="FootnoteReference"/>
          <w:rFonts w:asciiTheme="majorBidi" w:hAnsiTheme="majorBidi" w:cstheme="majorBidi"/>
          <w:kern w:val="2"/>
          <w:lang w:val="fr-FR" w:eastAsia="zh-CN"/>
          <w14:ligatures w14:val="standardContextual"/>
        </w:rPr>
        <w:footnoteRef/>
      </w:r>
      <w:r w:rsidRPr="00763039">
        <w:rPr>
          <w:rFonts w:asciiTheme="majorBidi" w:hAnsiTheme="majorBidi" w:cstheme="majorBidi"/>
          <w:kern w:val="2"/>
          <w14:ligatures w14:val="standardContextual"/>
        </w:rPr>
        <w:tab/>
        <w:t>See revised Market Definition Notice.</w:t>
      </w:r>
    </w:p>
  </w:footnote>
  <w:footnote w:id="7">
    <w:p w14:paraId="142D3B3F" w14:textId="4F5A18BD" w:rsidR="00391839" w:rsidRPr="000506D9" w:rsidRDefault="00391839" w:rsidP="00391839">
      <w:pPr>
        <w:pStyle w:val="FootnoteText"/>
        <w:rPr>
          <w:rFonts w:asciiTheme="majorBidi" w:hAnsiTheme="majorBidi" w:cstheme="majorBidi"/>
        </w:rPr>
      </w:pPr>
      <w:r w:rsidRPr="000506D9">
        <w:rPr>
          <w:rStyle w:val="FootnoteReference"/>
          <w:rFonts w:asciiTheme="majorBidi" w:eastAsiaTheme="minorEastAsia" w:hAnsiTheme="majorBidi" w:cstheme="majorBidi"/>
          <w:kern w:val="2"/>
          <w:lang w:val="fr-FR" w:eastAsia="zh-CN"/>
          <w14:ligatures w14:val="standardContextual"/>
        </w:rPr>
        <w:footnoteRef/>
      </w:r>
      <w:r w:rsidRPr="000506D9">
        <w:rPr>
          <w:rFonts w:asciiTheme="majorBidi" w:eastAsiaTheme="minorEastAsia" w:hAnsiTheme="majorBidi" w:cstheme="majorBidi"/>
          <w:kern w:val="2"/>
          <w14:ligatures w14:val="standardContextual"/>
        </w:rPr>
        <w:tab/>
      </w:r>
      <w:r w:rsidRPr="00763039">
        <w:rPr>
          <w:rFonts w:asciiTheme="majorBidi" w:hAnsiTheme="majorBidi" w:cstheme="majorBidi"/>
          <w:kern w:val="2"/>
          <w14:ligatures w14:val="standardContextual"/>
        </w:rPr>
        <w:t xml:space="preserve">See in that sense </w:t>
      </w:r>
      <w:r w:rsidRPr="00763039">
        <w:rPr>
          <w:rFonts w:asciiTheme="majorBidi" w:hAnsiTheme="majorBidi" w:cstheme="majorBidi"/>
          <w:i/>
          <w:iCs/>
          <w:kern w:val="2"/>
          <w14:ligatures w14:val="standardContextual"/>
        </w:rPr>
        <w:t>Journal of European Competition Law &amp; Practice</w:t>
      </w:r>
      <w:r w:rsidRPr="00763039">
        <w:rPr>
          <w:rFonts w:asciiTheme="majorBidi" w:hAnsiTheme="majorBidi" w:cstheme="majorBidi"/>
          <w:kern w:val="2"/>
          <w14:ligatures w14:val="standardContextual"/>
        </w:rPr>
        <w:t xml:space="preserve">, 2018, Vol. 9, No. 4, </w:t>
      </w:r>
      <w:r w:rsidR="002D7F99">
        <w:rPr>
          <w:rFonts w:asciiTheme="majorBidi" w:hAnsiTheme="majorBidi" w:cstheme="majorBidi"/>
          <w:kern w:val="2"/>
          <w14:ligatures w14:val="standardContextual"/>
        </w:rPr>
        <w:t>“</w:t>
      </w:r>
      <w:r w:rsidRPr="00763039">
        <w:rPr>
          <w:rFonts w:asciiTheme="majorBidi" w:hAnsiTheme="majorBidi" w:cstheme="majorBidi"/>
          <w:i/>
          <w:iCs/>
          <w:kern w:val="2"/>
          <w14:ligatures w14:val="standardContextual"/>
        </w:rPr>
        <w:t>Should Profit Margins Play a More Decisive Role in Horizontal Merger Control?</w:t>
      </w:r>
      <w:r w:rsidR="002D7F99">
        <w:rPr>
          <w:rFonts w:asciiTheme="majorBidi" w:hAnsiTheme="majorBidi" w:cstheme="majorBidi"/>
          <w:kern w:val="2"/>
          <w14:ligatures w14:val="standardContextual"/>
        </w:rPr>
        <w:t>”</w:t>
      </w:r>
      <w:r w:rsidRPr="00763039">
        <w:rPr>
          <w:rFonts w:asciiTheme="majorBidi" w:hAnsiTheme="majorBidi" w:cstheme="majorBidi"/>
          <w:kern w:val="2"/>
          <w14:ligatures w14:val="standardContextual"/>
        </w:rPr>
        <w:t xml:space="preserve"> written by Jorge Padilla.</w:t>
      </w:r>
    </w:p>
  </w:footnote>
  <w:footnote w:id="8">
    <w:p w14:paraId="411EA87C" w14:textId="6EBDD5D4" w:rsidR="003A1CBB" w:rsidRPr="000506D9" w:rsidRDefault="003A1CBB" w:rsidP="003A1CBB">
      <w:pPr>
        <w:pStyle w:val="FootnoteText"/>
        <w:rPr>
          <w:rFonts w:asciiTheme="majorBidi" w:hAnsiTheme="majorBidi" w:cstheme="majorBidi"/>
        </w:rPr>
      </w:pPr>
      <w:r w:rsidRPr="00763039">
        <w:rPr>
          <w:rStyle w:val="FootnoteReference"/>
          <w:rFonts w:asciiTheme="majorBidi" w:hAnsiTheme="majorBidi" w:cstheme="majorBidi"/>
          <w:kern w:val="2"/>
          <w:lang w:val="fr-FR" w:eastAsia="zh-CN"/>
          <w14:ligatures w14:val="standardContextual"/>
        </w:rPr>
        <w:footnoteRef/>
      </w:r>
      <w:r w:rsidRPr="00763039">
        <w:rPr>
          <w:rFonts w:asciiTheme="majorBidi" w:hAnsiTheme="majorBidi" w:cstheme="majorBidi"/>
          <w:kern w:val="2"/>
          <w14:ligatures w14:val="standardContextual"/>
        </w:rPr>
        <w:tab/>
        <w:t xml:space="preserve">See in that sense </w:t>
      </w:r>
      <w:r w:rsidRPr="00763039">
        <w:rPr>
          <w:rFonts w:asciiTheme="majorBidi" w:hAnsiTheme="majorBidi" w:cstheme="majorBidi"/>
          <w:i/>
          <w:iCs/>
          <w:kern w:val="2"/>
          <w14:ligatures w14:val="standardContextual"/>
        </w:rPr>
        <w:t>The Journal of Industrial Economics</w:t>
      </w:r>
      <w:r w:rsidRPr="00763039">
        <w:rPr>
          <w:rFonts w:asciiTheme="majorBidi" w:hAnsiTheme="majorBidi" w:cstheme="majorBidi"/>
          <w:kern w:val="2"/>
          <w14:ligatures w14:val="standardContextual"/>
        </w:rPr>
        <w:t xml:space="preserve">, 2011, Vol. 59, No. 1, </w:t>
      </w:r>
      <w:r w:rsidR="002D7F99">
        <w:rPr>
          <w:rFonts w:asciiTheme="majorBidi" w:hAnsiTheme="majorBidi" w:cstheme="majorBidi"/>
          <w:kern w:val="2"/>
          <w14:ligatures w14:val="standardContextual"/>
        </w:rPr>
        <w:t>“</w:t>
      </w:r>
      <w:r w:rsidRPr="00763039">
        <w:rPr>
          <w:rFonts w:asciiTheme="majorBidi" w:hAnsiTheme="majorBidi" w:cstheme="majorBidi"/>
          <w:i/>
          <w:iCs/>
          <w:kern w:val="2"/>
          <w14:ligatures w14:val="standardContextual"/>
        </w:rPr>
        <w:t xml:space="preserve">Buyer power and the </w:t>
      </w:r>
      <w:r w:rsidR="002D7F99">
        <w:rPr>
          <w:rFonts w:asciiTheme="majorBidi" w:hAnsiTheme="majorBidi" w:cstheme="majorBidi"/>
          <w:i/>
          <w:iCs/>
          <w:kern w:val="2"/>
          <w14:ligatures w14:val="standardContextual"/>
        </w:rPr>
        <w:t>“</w:t>
      </w:r>
      <w:r w:rsidRPr="00763039">
        <w:rPr>
          <w:rFonts w:asciiTheme="majorBidi" w:hAnsiTheme="majorBidi" w:cstheme="majorBidi"/>
          <w:i/>
          <w:iCs/>
          <w:kern w:val="2"/>
          <w14:ligatures w14:val="standardContextual"/>
        </w:rPr>
        <w:t>waterbed effect</w:t>
      </w:r>
      <w:r w:rsidR="002D7F99">
        <w:rPr>
          <w:rFonts w:asciiTheme="majorBidi" w:hAnsiTheme="majorBidi" w:cstheme="majorBidi"/>
          <w:i/>
          <w:iCs/>
          <w:kern w:val="2"/>
          <w14:ligatures w14:val="standardContextual"/>
        </w:rPr>
        <w:t>”</w:t>
      </w:r>
      <w:r w:rsidRPr="00763039">
        <w:rPr>
          <w:rFonts w:asciiTheme="majorBidi" w:hAnsiTheme="majorBidi" w:cstheme="majorBidi"/>
          <w:kern w:val="2"/>
          <w14:ligatures w14:val="standardContextual"/>
        </w:rPr>
        <w:t xml:space="preserve"> written by Roman Inderst and Tommaso M. Valletti; and </w:t>
      </w:r>
      <w:r w:rsidRPr="00763039">
        <w:rPr>
          <w:rFonts w:asciiTheme="majorBidi" w:hAnsiTheme="majorBidi" w:cstheme="majorBidi"/>
          <w:i/>
          <w:iCs/>
          <w:kern w:val="2"/>
          <w14:ligatures w14:val="standardContextual"/>
        </w:rPr>
        <w:t>European Competition Law Review</w:t>
      </w:r>
      <w:r w:rsidRPr="00763039">
        <w:rPr>
          <w:rFonts w:asciiTheme="majorBidi" w:hAnsiTheme="majorBidi" w:cstheme="majorBidi"/>
          <w:kern w:val="2"/>
          <w14:ligatures w14:val="standardContextual"/>
        </w:rPr>
        <w:t>, 2014,</w:t>
      </w:r>
      <w:r w:rsidRPr="00763039">
        <w:rPr>
          <w:rFonts w:asciiTheme="majorBidi" w:hAnsiTheme="majorBidi" w:cstheme="majorBidi"/>
          <w:i/>
          <w:iCs/>
          <w:kern w:val="2"/>
          <w14:ligatures w14:val="standardContextual"/>
        </w:rPr>
        <w:t xml:space="preserve"> </w:t>
      </w:r>
      <w:r w:rsidR="002D7F99">
        <w:rPr>
          <w:rFonts w:asciiTheme="majorBidi" w:hAnsiTheme="majorBidi" w:cstheme="majorBidi"/>
          <w:i/>
          <w:iCs/>
          <w:kern w:val="2"/>
          <w14:ligatures w14:val="standardContextual"/>
        </w:rPr>
        <w:t>“</w:t>
      </w:r>
      <w:r w:rsidRPr="00763039">
        <w:rPr>
          <w:rFonts w:asciiTheme="majorBidi" w:hAnsiTheme="majorBidi" w:cstheme="majorBidi"/>
          <w:i/>
          <w:iCs/>
          <w:kern w:val="2"/>
          <w14:ligatures w14:val="standardContextual"/>
        </w:rPr>
        <w:t>Most Favoured Nation Clauses Revisited</w:t>
      </w:r>
      <w:r w:rsidR="002D7F99">
        <w:rPr>
          <w:rFonts w:asciiTheme="majorBidi" w:hAnsiTheme="majorBidi" w:cstheme="majorBidi"/>
          <w:i/>
          <w:iCs/>
          <w:kern w:val="2"/>
          <w14:ligatures w14:val="standardContextual"/>
        </w:rPr>
        <w:t>”</w:t>
      </w:r>
      <w:r w:rsidRPr="00763039">
        <w:rPr>
          <w:rFonts w:asciiTheme="majorBidi" w:hAnsiTheme="majorBidi" w:cstheme="majorBidi"/>
          <w:i/>
          <w:iCs/>
          <w:kern w:val="2"/>
          <w14:ligatures w14:val="standardContextual"/>
        </w:rPr>
        <w:t xml:space="preserve"> </w:t>
      </w:r>
      <w:r w:rsidRPr="00763039">
        <w:rPr>
          <w:rFonts w:asciiTheme="majorBidi" w:hAnsiTheme="majorBidi" w:cstheme="majorBidi"/>
          <w:kern w:val="2"/>
          <w14:ligatures w14:val="standardContextual"/>
        </w:rPr>
        <w:t xml:space="preserve">written by Ingrid </w:t>
      </w:r>
      <w:proofErr w:type="spellStart"/>
      <w:r w:rsidRPr="00763039">
        <w:rPr>
          <w:rFonts w:asciiTheme="majorBidi" w:hAnsiTheme="majorBidi" w:cstheme="majorBidi"/>
          <w:kern w:val="2"/>
          <w14:ligatures w14:val="standardContextual"/>
        </w:rPr>
        <w:t>Vandenborre</w:t>
      </w:r>
      <w:proofErr w:type="spellEnd"/>
      <w:r w:rsidRPr="00763039">
        <w:rPr>
          <w:rFonts w:asciiTheme="majorBidi" w:hAnsiTheme="majorBidi" w:cstheme="majorBidi"/>
          <w:kern w:val="2"/>
          <w14:ligatures w14:val="standardContextual"/>
        </w:rPr>
        <w:t xml:space="preserve"> and Michael J. Frese.</w:t>
      </w:r>
    </w:p>
  </w:footnote>
  <w:footnote w:id="9">
    <w:p w14:paraId="250B9F14" w14:textId="6ACC5E5C" w:rsidR="00D2268D" w:rsidRPr="005F090D" w:rsidRDefault="00D2268D">
      <w:pPr>
        <w:pStyle w:val="FootnoteText"/>
      </w:pPr>
      <w:r>
        <w:rPr>
          <w:rStyle w:val="FootnoteReference"/>
        </w:rPr>
        <w:footnoteRef/>
      </w:r>
      <w:r>
        <w:t xml:space="preserve"> </w:t>
      </w:r>
      <w:r w:rsidR="00CF3721" w:rsidRPr="00D03F93">
        <w:tab/>
        <w:t xml:space="preserve">See Judgment of 23 February 2006, </w:t>
      </w:r>
      <w:proofErr w:type="spellStart"/>
      <w:r w:rsidR="00CF3721" w:rsidRPr="006340E6">
        <w:rPr>
          <w:i/>
          <w:iCs/>
        </w:rPr>
        <w:t>Cementbouw</w:t>
      </w:r>
      <w:proofErr w:type="spellEnd"/>
      <w:r w:rsidR="00CF3721" w:rsidRPr="006340E6">
        <w:rPr>
          <w:i/>
          <w:iCs/>
        </w:rPr>
        <w:t xml:space="preserve"> Handel &amp; Industrie BV v Commission</w:t>
      </w:r>
      <w:r w:rsidR="00CF3721" w:rsidRPr="00D03F93">
        <w:t xml:space="preserve">, T-282/02, </w:t>
      </w:r>
      <w:proofErr w:type="gramStart"/>
      <w:r w:rsidR="00CF3721" w:rsidRPr="00D03F93">
        <w:t>EU:T</w:t>
      </w:r>
      <w:proofErr w:type="gramEnd"/>
      <w:r w:rsidR="00CF3721" w:rsidRPr="00D03F93">
        <w:t>:2006:64, para. 233.</w:t>
      </w:r>
    </w:p>
  </w:footnote>
  <w:footnote w:id="10">
    <w:p w14:paraId="1D0DDBB3" w14:textId="77777777" w:rsidR="00391839" w:rsidRPr="000506D9" w:rsidRDefault="00391839" w:rsidP="00391839">
      <w:pPr>
        <w:pStyle w:val="FootnoteText"/>
        <w:rPr>
          <w:rFonts w:asciiTheme="majorBidi" w:hAnsiTheme="majorBidi" w:cstheme="majorBidi"/>
          <w:lang w:val="en-US"/>
        </w:rPr>
      </w:pPr>
      <w:r w:rsidRPr="000506D9">
        <w:rPr>
          <w:rStyle w:val="FootnoteReference"/>
          <w:rFonts w:asciiTheme="majorBidi" w:hAnsiTheme="majorBidi" w:cstheme="majorBidi"/>
          <w:kern w:val="2"/>
          <w:lang w:val="fr-FR" w:eastAsia="zh-CN"/>
          <w14:ligatures w14:val="standardContextual"/>
        </w:rPr>
        <w:footnoteRef/>
      </w:r>
      <w:r w:rsidRPr="000506D9">
        <w:rPr>
          <w:rFonts w:asciiTheme="majorBidi" w:hAnsiTheme="majorBidi" w:cstheme="majorBidi"/>
          <w:kern w:val="2"/>
          <w14:ligatures w14:val="standardContextual"/>
        </w:rPr>
        <w:tab/>
        <w:t xml:space="preserve">Draft Guidelines, para. </w:t>
      </w:r>
      <w:r w:rsidRPr="000506D9">
        <w:rPr>
          <w:rFonts w:asciiTheme="majorBidi" w:hAnsiTheme="majorBidi" w:cstheme="majorBidi"/>
          <w:kern w:val="2"/>
          <w:lang w:val="en-US"/>
          <w14:ligatures w14:val="standardContextual"/>
        </w:rPr>
        <w:t>112.</w:t>
      </w:r>
    </w:p>
  </w:footnote>
  <w:footnote w:id="11">
    <w:p w14:paraId="56898B61" w14:textId="58FAA8A7" w:rsidR="008B3DB7" w:rsidRPr="000506D9" w:rsidRDefault="008B3DB7">
      <w:pPr>
        <w:pStyle w:val="FootnoteText"/>
        <w:rPr>
          <w:lang w:val="en-US"/>
        </w:rPr>
      </w:pPr>
      <w:r>
        <w:rPr>
          <w:rStyle w:val="FootnoteReference"/>
        </w:rPr>
        <w:footnoteRef/>
      </w:r>
      <w:r>
        <w:t xml:space="preserve"> </w:t>
      </w:r>
      <w:r>
        <w:rPr>
          <w:lang w:val="en-US"/>
        </w:rPr>
        <w:tab/>
      </w:r>
      <w:r w:rsidR="00427641" w:rsidRPr="000506D9">
        <w:t>Council Regulation (EC) No 139/2004 of 20 January 2004 on the control of concentrations between undertakings (the EC Merger Regulation)</w:t>
      </w:r>
    </w:p>
  </w:footnote>
  <w:footnote w:id="12">
    <w:p w14:paraId="0B4D793D" w14:textId="711EEAFB" w:rsidR="009E03F5" w:rsidRPr="000506D9" w:rsidRDefault="009E03F5" w:rsidP="009E03F5">
      <w:pPr>
        <w:pStyle w:val="FootnoteText"/>
        <w:rPr>
          <w:lang w:val="en-US"/>
        </w:rPr>
      </w:pPr>
      <w:r>
        <w:rPr>
          <w:rStyle w:val="FootnoteReference"/>
        </w:rPr>
        <w:footnoteRef/>
      </w:r>
      <w:r>
        <w:t xml:space="preserve"> </w:t>
      </w:r>
      <w:r w:rsidRPr="009E03F5">
        <w:rPr>
          <w:lang w:val="en-US"/>
        </w:rPr>
        <w:tab/>
      </w:r>
      <w:hyperlink r:id="rId1" w:history="1">
        <w:r w:rsidRPr="000506D9">
          <w:rPr>
            <w:rStyle w:val="Hyperlink"/>
            <w:u w:val="none"/>
          </w:rPr>
          <w:t>Guidelines on the applicability of Article 101 of the Treaty on the Functioning of the European Union to horizontal cooperation agreements</w:t>
        </w:r>
      </w:hyperlink>
    </w:p>
  </w:footnote>
  <w:footnote w:id="13">
    <w:p w14:paraId="3C227FE0" w14:textId="51284ABD" w:rsidR="00763039" w:rsidRPr="000506D9" w:rsidRDefault="00763039">
      <w:pPr>
        <w:pStyle w:val="FootnoteText"/>
        <w:rPr>
          <w:rFonts w:asciiTheme="majorBidi" w:hAnsiTheme="majorBidi" w:cstheme="majorBidi"/>
          <w:lang w:val="es-ES"/>
        </w:rPr>
      </w:pPr>
      <w:r w:rsidRPr="000506D9">
        <w:rPr>
          <w:rStyle w:val="FootnoteReference"/>
          <w:rFonts w:asciiTheme="majorBidi" w:hAnsiTheme="majorBidi" w:cstheme="majorBidi"/>
        </w:rPr>
        <w:footnoteRef/>
      </w:r>
      <w:r w:rsidRPr="000506D9">
        <w:rPr>
          <w:rFonts w:asciiTheme="majorBidi" w:hAnsiTheme="majorBidi" w:cstheme="majorBidi"/>
          <w:lang w:val="es-ES"/>
        </w:rPr>
        <w:t xml:space="preserve">  </w:t>
      </w:r>
      <w:r w:rsidRPr="000506D9">
        <w:rPr>
          <w:rFonts w:asciiTheme="majorBidi" w:hAnsiTheme="majorBidi" w:cstheme="majorBidi"/>
          <w:lang w:val="es-ES"/>
        </w:rPr>
        <w:tab/>
        <w:t>Draft Guidelines, para</w:t>
      </w:r>
      <w:r w:rsidR="00B754D2" w:rsidRPr="000506D9">
        <w:rPr>
          <w:rFonts w:asciiTheme="majorBidi" w:hAnsiTheme="majorBidi" w:cstheme="majorBidi"/>
          <w:lang w:val="es-ES"/>
        </w:rPr>
        <w:t>.</w:t>
      </w:r>
      <w:r w:rsidR="009D5179" w:rsidRPr="000506D9">
        <w:rPr>
          <w:rFonts w:asciiTheme="majorBidi" w:hAnsiTheme="majorBidi" w:cstheme="majorBidi"/>
          <w:lang w:val="es-ES"/>
        </w:rPr>
        <w:t xml:space="preserve"> </w:t>
      </w:r>
      <w:r w:rsidRPr="000506D9">
        <w:rPr>
          <w:rFonts w:asciiTheme="majorBidi" w:hAnsiTheme="majorBidi" w:cstheme="majorBidi"/>
          <w:lang w:val="es-ES"/>
        </w:rPr>
        <w:t>304.</w:t>
      </w:r>
    </w:p>
  </w:footnote>
  <w:footnote w:id="14">
    <w:p w14:paraId="785A2FAC" w14:textId="11C81F36" w:rsidR="00476B9E" w:rsidRPr="000506D9" w:rsidRDefault="00476B9E">
      <w:pPr>
        <w:pStyle w:val="FootnoteText"/>
        <w:rPr>
          <w:rFonts w:asciiTheme="majorBidi" w:hAnsiTheme="majorBidi" w:cstheme="majorBidi"/>
          <w:lang w:val="en-US"/>
        </w:rPr>
      </w:pPr>
      <w:r w:rsidRPr="000506D9">
        <w:rPr>
          <w:rStyle w:val="FootnoteReference"/>
          <w:rFonts w:asciiTheme="majorBidi" w:hAnsiTheme="majorBidi" w:cstheme="majorBidi"/>
        </w:rPr>
        <w:footnoteRef/>
      </w:r>
      <w:r w:rsidRPr="002D1B07">
        <w:rPr>
          <w:rFonts w:asciiTheme="majorBidi" w:hAnsiTheme="majorBidi" w:cstheme="majorBidi"/>
          <w:lang w:val="es-ES"/>
        </w:rPr>
        <w:t xml:space="preserve"> </w:t>
      </w:r>
      <w:r w:rsidRPr="002D1B07">
        <w:rPr>
          <w:rFonts w:asciiTheme="majorBidi" w:hAnsiTheme="majorBidi" w:cstheme="majorBidi"/>
          <w:lang w:val="es-ES"/>
        </w:rPr>
        <w:tab/>
        <w:t>Draft Guidelines, para</w:t>
      </w:r>
      <w:r w:rsidR="00B754D2" w:rsidRPr="002D1B07">
        <w:rPr>
          <w:rFonts w:asciiTheme="majorBidi" w:hAnsiTheme="majorBidi" w:cstheme="majorBidi"/>
          <w:lang w:val="es-ES"/>
        </w:rPr>
        <w:t>s.</w:t>
      </w:r>
      <w:r w:rsidRPr="002D1B07">
        <w:rPr>
          <w:rFonts w:asciiTheme="majorBidi" w:hAnsiTheme="majorBidi" w:cstheme="majorBidi"/>
          <w:lang w:val="es-ES"/>
        </w:rPr>
        <w:t xml:space="preserve"> </w:t>
      </w:r>
      <w:r w:rsidRPr="000506D9">
        <w:rPr>
          <w:rFonts w:asciiTheme="majorBidi" w:hAnsiTheme="majorBidi" w:cstheme="majorBidi"/>
        </w:rPr>
        <w:t>306 and 328.</w:t>
      </w:r>
    </w:p>
  </w:footnote>
  <w:footnote w:id="15">
    <w:p w14:paraId="3BA3ACF3" w14:textId="7899407B" w:rsidR="00FA50DD" w:rsidRPr="000506D9" w:rsidRDefault="00FA50DD" w:rsidP="009C323F">
      <w:pPr>
        <w:pStyle w:val="FootnoteText"/>
        <w:rPr>
          <w:rFonts w:asciiTheme="majorBidi" w:hAnsiTheme="majorBidi" w:cstheme="majorBidi"/>
          <w:lang w:val="en-US"/>
        </w:rPr>
      </w:pPr>
      <w:r w:rsidRPr="000506D9">
        <w:rPr>
          <w:rStyle w:val="FootnoteReference"/>
          <w:rFonts w:asciiTheme="majorBidi" w:hAnsiTheme="majorBidi" w:cstheme="majorBidi"/>
        </w:rPr>
        <w:footnoteRef/>
      </w:r>
      <w:r w:rsidRPr="000506D9">
        <w:rPr>
          <w:rFonts w:asciiTheme="majorBidi" w:hAnsiTheme="majorBidi" w:cstheme="majorBidi"/>
        </w:rPr>
        <w:t xml:space="preserve"> </w:t>
      </w:r>
      <w:r w:rsidR="00476B9E" w:rsidRPr="000506D9">
        <w:rPr>
          <w:rFonts w:asciiTheme="majorBidi" w:hAnsiTheme="majorBidi" w:cstheme="majorBidi"/>
        </w:rPr>
        <w:tab/>
        <w:t>Draft Guidelines, footnote 380.</w:t>
      </w:r>
    </w:p>
  </w:footnote>
  <w:footnote w:id="16">
    <w:p w14:paraId="3A0F3D63" w14:textId="2A4BA9A4" w:rsidR="00476B9E" w:rsidRPr="000506D9" w:rsidRDefault="00476B9E">
      <w:pPr>
        <w:pStyle w:val="FootnoteText"/>
        <w:rPr>
          <w:rFonts w:asciiTheme="majorBidi" w:hAnsiTheme="majorBidi" w:cstheme="majorBidi"/>
          <w:lang w:val="en-US"/>
        </w:rPr>
      </w:pPr>
      <w:r w:rsidRPr="000506D9">
        <w:rPr>
          <w:rStyle w:val="FootnoteReference"/>
          <w:rFonts w:asciiTheme="majorBidi" w:hAnsiTheme="majorBidi" w:cstheme="majorBidi"/>
        </w:rPr>
        <w:footnoteRef/>
      </w:r>
      <w:r w:rsidRPr="000506D9">
        <w:rPr>
          <w:rFonts w:asciiTheme="majorBidi" w:hAnsiTheme="majorBidi" w:cstheme="majorBidi"/>
        </w:rPr>
        <w:t xml:space="preserve"> </w:t>
      </w:r>
      <w:r w:rsidRPr="00F16B1A">
        <w:rPr>
          <w:rFonts w:asciiTheme="majorBidi" w:hAnsiTheme="majorBidi" w:cstheme="majorBidi"/>
          <w:lang w:val="en-US"/>
        </w:rPr>
        <w:tab/>
        <w:t>Draft Guidelines, paras</w:t>
      </w:r>
      <w:r w:rsidR="00400C34" w:rsidRPr="00F16B1A">
        <w:rPr>
          <w:rFonts w:asciiTheme="majorBidi" w:hAnsiTheme="majorBidi" w:cstheme="majorBidi"/>
          <w:lang w:val="en-US"/>
        </w:rPr>
        <w:t>.</w:t>
      </w:r>
      <w:r w:rsidRPr="00F16B1A">
        <w:rPr>
          <w:rFonts w:asciiTheme="majorBidi" w:hAnsiTheme="majorBidi" w:cstheme="majorBidi"/>
          <w:lang w:val="en-US"/>
        </w:rPr>
        <w:t xml:space="preserve"> 308 and 329.</w:t>
      </w:r>
    </w:p>
  </w:footnote>
  <w:footnote w:id="17">
    <w:p w14:paraId="0CF15199" w14:textId="2E7D5FA1" w:rsidR="00F3299C" w:rsidRPr="000506D9" w:rsidRDefault="00F3299C">
      <w:pPr>
        <w:pStyle w:val="FootnoteText"/>
        <w:rPr>
          <w:lang w:val="en-US"/>
        </w:rPr>
      </w:pPr>
      <w:r>
        <w:rPr>
          <w:rStyle w:val="FootnoteReference"/>
        </w:rPr>
        <w:footnoteRef/>
      </w:r>
      <w:r>
        <w:t xml:space="preserve"> </w:t>
      </w:r>
      <w:r w:rsidRPr="00F16B1A">
        <w:rPr>
          <w:rFonts w:asciiTheme="majorBidi" w:hAnsiTheme="majorBidi" w:cstheme="majorBidi"/>
          <w:lang w:val="en-US"/>
        </w:rPr>
        <w:tab/>
        <w:t>Draft Guidelines, para</w:t>
      </w:r>
      <w:r w:rsidR="00400C34" w:rsidRPr="00F16B1A">
        <w:rPr>
          <w:rFonts w:asciiTheme="majorBidi" w:hAnsiTheme="majorBidi" w:cstheme="majorBidi"/>
          <w:lang w:val="en-US"/>
        </w:rPr>
        <w:t>.</w:t>
      </w:r>
      <w:r w:rsidRPr="00F16B1A">
        <w:rPr>
          <w:rFonts w:asciiTheme="majorBidi" w:hAnsiTheme="majorBidi" w:cstheme="majorBidi"/>
          <w:lang w:val="en-US"/>
        </w:rPr>
        <w:t xml:space="preserve"> 24.</w:t>
      </w:r>
    </w:p>
  </w:footnote>
  <w:footnote w:id="18">
    <w:p w14:paraId="7AEEBAA4" w14:textId="1ACA79BC" w:rsidR="00E5424B" w:rsidRPr="000506D9" w:rsidRDefault="00E5424B">
      <w:pPr>
        <w:pStyle w:val="FootnoteText"/>
        <w:rPr>
          <w:rFonts w:asciiTheme="majorBidi" w:hAnsiTheme="majorBidi" w:cstheme="majorBidi"/>
          <w:lang w:val="en-US"/>
        </w:rPr>
      </w:pPr>
      <w:r w:rsidRPr="000506D9">
        <w:rPr>
          <w:rStyle w:val="FootnoteReference"/>
          <w:rFonts w:asciiTheme="majorBidi" w:hAnsiTheme="majorBidi" w:cstheme="majorBidi"/>
        </w:rPr>
        <w:footnoteRef/>
      </w:r>
      <w:r w:rsidRPr="000506D9">
        <w:rPr>
          <w:rFonts w:asciiTheme="majorBidi" w:hAnsiTheme="majorBidi" w:cstheme="majorBidi"/>
        </w:rPr>
        <w:t xml:space="preserve"> </w:t>
      </w:r>
      <w:r w:rsidRPr="00F16B1A">
        <w:rPr>
          <w:rFonts w:asciiTheme="majorBidi" w:hAnsiTheme="majorBidi" w:cstheme="majorBidi"/>
          <w:lang w:val="en-US"/>
        </w:rPr>
        <w:tab/>
        <w:t>Draft Guidelines, paras</w:t>
      </w:r>
      <w:r w:rsidR="00954F89" w:rsidRPr="00F16B1A">
        <w:rPr>
          <w:rFonts w:asciiTheme="majorBidi" w:hAnsiTheme="majorBidi" w:cstheme="majorBidi"/>
          <w:lang w:val="en-US"/>
        </w:rPr>
        <w:t>.</w:t>
      </w:r>
      <w:r w:rsidRPr="00F16B1A">
        <w:rPr>
          <w:rFonts w:asciiTheme="majorBidi" w:hAnsiTheme="majorBidi" w:cstheme="majorBidi"/>
          <w:lang w:val="en-US"/>
        </w:rPr>
        <w:t xml:space="preserve"> </w:t>
      </w:r>
      <w:r w:rsidRPr="000506D9">
        <w:rPr>
          <w:rFonts w:asciiTheme="majorBidi" w:hAnsiTheme="majorBidi" w:cstheme="majorBidi"/>
        </w:rPr>
        <w:t>309 and 330.</w:t>
      </w:r>
    </w:p>
  </w:footnote>
  <w:footnote w:id="19">
    <w:p w14:paraId="7487A864" w14:textId="64ACD765" w:rsidR="004A66DE" w:rsidRPr="000506D9" w:rsidRDefault="004A66DE">
      <w:pPr>
        <w:pStyle w:val="FootnoteText"/>
        <w:rPr>
          <w:rFonts w:asciiTheme="majorBidi" w:hAnsiTheme="majorBidi" w:cstheme="majorBidi"/>
          <w:lang w:val="en-US"/>
        </w:rPr>
      </w:pPr>
      <w:r w:rsidRPr="000506D9">
        <w:rPr>
          <w:rStyle w:val="FootnoteReference"/>
          <w:rFonts w:asciiTheme="majorBidi" w:hAnsiTheme="majorBidi" w:cstheme="majorBidi"/>
        </w:rPr>
        <w:footnoteRef/>
      </w:r>
      <w:r w:rsidRPr="000506D9">
        <w:rPr>
          <w:rFonts w:asciiTheme="majorBidi" w:hAnsiTheme="majorBidi" w:cstheme="majorBidi"/>
        </w:rPr>
        <w:t xml:space="preserve"> </w:t>
      </w:r>
      <w:r w:rsidRPr="000506D9">
        <w:rPr>
          <w:rFonts w:asciiTheme="majorBidi" w:hAnsiTheme="majorBidi" w:cstheme="majorBidi"/>
        </w:rPr>
        <w:tab/>
        <w:t>Draft Guidelines, paras</w:t>
      </w:r>
      <w:r w:rsidR="00954F89">
        <w:rPr>
          <w:rFonts w:asciiTheme="majorBidi" w:hAnsiTheme="majorBidi" w:cstheme="majorBidi"/>
        </w:rPr>
        <w:t>.</w:t>
      </w:r>
      <w:r w:rsidRPr="000506D9">
        <w:rPr>
          <w:rFonts w:asciiTheme="majorBidi" w:hAnsiTheme="majorBidi" w:cstheme="majorBidi"/>
        </w:rPr>
        <w:t xml:space="preserve"> 309 and 330.</w:t>
      </w:r>
    </w:p>
  </w:footnote>
  <w:footnote w:id="20">
    <w:p w14:paraId="41CD5529" w14:textId="55D01D13" w:rsidR="00161160" w:rsidRPr="000506D9" w:rsidRDefault="00161160">
      <w:pPr>
        <w:pStyle w:val="FootnoteText"/>
        <w:rPr>
          <w:lang w:val="en-US"/>
        </w:rPr>
      </w:pPr>
      <w:r>
        <w:rPr>
          <w:rStyle w:val="FootnoteReference"/>
        </w:rPr>
        <w:footnoteRef/>
      </w:r>
      <w:r>
        <w:t xml:space="preserve"> </w:t>
      </w:r>
      <w:r w:rsidRPr="00F67609">
        <w:rPr>
          <w:rFonts w:asciiTheme="majorBidi" w:hAnsiTheme="majorBidi" w:cstheme="majorBidi"/>
        </w:rPr>
        <w:tab/>
        <w:t>Draft Guidelines, para</w:t>
      </w:r>
      <w:r w:rsidR="00954F89">
        <w:rPr>
          <w:rFonts w:asciiTheme="majorBidi" w:hAnsiTheme="majorBidi" w:cstheme="majorBidi"/>
        </w:rPr>
        <w:t>.</w:t>
      </w:r>
      <w:r w:rsidRPr="00F67609">
        <w:rPr>
          <w:rFonts w:asciiTheme="majorBidi" w:hAnsiTheme="majorBidi" w:cstheme="majorBidi"/>
        </w:rPr>
        <w:t xml:space="preserve"> 175.</w:t>
      </w:r>
    </w:p>
  </w:footnote>
  <w:footnote w:id="21">
    <w:p w14:paraId="456CFC92" w14:textId="2A417EC1" w:rsidR="000978CB" w:rsidRPr="006F3556" w:rsidRDefault="000978CB" w:rsidP="006F3556">
      <w:pPr>
        <w:pStyle w:val="FootnoteText"/>
        <w:rPr>
          <w:lang w:val="en-US"/>
        </w:rPr>
      </w:pPr>
      <w:r>
        <w:rPr>
          <w:rStyle w:val="FootnoteReference"/>
        </w:rPr>
        <w:footnoteRef/>
      </w:r>
      <w:r>
        <w:t xml:space="preserve"> </w:t>
      </w:r>
      <w:r w:rsidR="006F3556" w:rsidRPr="006F3556">
        <w:rPr>
          <w:lang w:val="en-US"/>
        </w:rPr>
        <w:tab/>
        <w:t xml:space="preserve">This refers to </w:t>
      </w:r>
      <w:r w:rsidR="004F6007">
        <w:rPr>
          <w:lang w:val="en-US"/>
        </w:rPr>
        <w:t xml:space="preserve">the </w:t>
      </w:r>
      <w:r w:rsidR="006F3556" w:rsidRPr="006F3556">
        <w:t xml:space="preserve">contribution of the </w:t>
      </w:r>
      <w:r w:rsidR="006F3556">
        <w:t>APDC</w:t>
      </w:r>
      <w:r w:rsidR="003925F5">
        <w:t xml:space="preserve"> dated</w:t>
      </w:r>
      <w:r w:rsidR="006F3556" w:rsidRPr="006F3556">
        <w:t xml:space="preserve"> </w:t>
      </w:r>
      <w:r w:rsidR="003925F5" w:rsidRPr="006F3556">
        <w:t>3 September 2025</w:t>
      </w:r>
      <w:r w:rsidR="00D1466A">
        <w:t xml:space="preserve"> </w:t>
      </w:r>
      <w:r w:rsidR="006F3556" w:rsidRPr="006F3556">
        <w:t xml:space="preserve">in the context of the targeted consultation on the merger control guidelines launched by the </w:t>
      </w:r>
      <w:r w:rsidR="00D86470">
        <w:t>E</w:t>
      </w:r>
      <w:r w:rsidR="006F3556" w:rsidRPr="006F3556">
        <w:t xml:space="preserve">uropean </w:t>
      </w:r>
      <w:r w:rsidR="00D86470">
        <w:t>C</w:t>
      </w:r>
      <w:r w:rsidR="006F3556" w:rsidRPr="006F3556">
        <w:t>ommission</w:t>
      </w:r>
      <w:r w:rsidR="00D86470">
        <w:t>.</w:t>
      </w:r>
    </w:p>
  </w:footnote>
  <w:footnote w:id="22">
    <w:p w14:paraId="51610AB4" w14:textId="6E690A90" w:rsidR="00921EB4" w:rsidRPr="00D03F93" w:rsidRDefault="00921EB4" w:rsidP="00921EB4">
      <w:pPr>
        <w:pStyle w:val="FootnoteText"/>
        <w:rPr>
          <w:rFonts w:asciiTheme="majorBidi" w:hAnsiTheme="majorBidi" w:cstheme="majorBidi"/>
        </w:rPr>
      </w:pPr>
      <w:r w:rsidRPr="000506D9">
        <w:rPr>
          <w:rStyle w:val="FootnoteReference"/>
          <w:rFonts w:asciiTheme="majorBidi" w:hAnsiTheme="majorBidi" w:cstheme="majorBidi"/>
        </w:rPr>
        <w:footnoteRef/>
      </w:r>
      <w:r w:rsidRPr="000506D9">
        <w:rPr>
          <w:rFonts w:asciiTheme="majorBidi" w:hAnsiTheme="majorBidi" w:cstheme="majorBidi"/>
        </w:rPr>
        <w:t xml:space="preserve"> </w:t>
      </w:r>
      <w:r w:rsidRPr="000506D9">
        <w:rPr>
          <w:rFonts w:asciiTheme="majorBidi" w:hAnsiTheme="majorBidi" w:cstheme="majorBidi"/>
        </w:rPr>
        <w:tab/>
        <w:t>CMA draft revised merger efficiencies guidance, para</w:t>
      </w:r>
      <w:r w:rsidR="00954F89">
        <w:rPr>
          <w:rFonts w:asciiTheme="majorBidi" w:hAnsiTheme="majorBidi" w:cstheme="majorBidi"/>
        </w:rPr>
        <w:t>.</w:t>
      </w:r>
      <w:r w:rsidR="009D5179">
        <w:rPr>
          <w:rFonts w:asciiTheme="majorBidi" w:hAnsiTheme="majorBidi" w:cstheme="majorBidi"/>
        </w:rPr>
        <w:t xml:space="preserve"> </w:t>
      </w:r>
      <w:r w:rsidRPr="00D03F93">
        <w:rPr>
          <w:rFonts w:asciiTheme="majorBidi" w:hAnsiTheme="majorBidi" w:cstheme="majorBidi"/>
        </w:rPr>
        <w:t>33.</w:t>
      </w:r>
    </w:p>
  </w:footnote>
  <w:footnote w:id="23">
    <w:p w14:paraId="12E46AE5" w14:textId="144EB4BB" w:rsidR="00921EB4" w:rsidRPr="00D03F93" w:rsidRDefault="00921EB4" w:rsidP="00921EB4">
      <w:pPr>
        <w:pStyle w:val="FootnoteText"/>
        <w:rPr>
          <w:rFonts w:asciiTheme="majorBidi" w:hAnsiTheme="majorBidi" w:cstheme="majorBidi"/>
        </w:rPr>
      </w:pPr>
      <w:r w:rsidRPr="000506D9">
        <w:rPr>
          <w:rStyle w:val="FootnoteReference"/>
          <w:rFonts w:asciiTheme="majorBidi" w:hAnsiTheme="majorBidi" w:cstheme="majorBidi"/>
        </w:rPr>
        <w:footnoteRef/>
      </w:r>
      <w:r w:rsidRPr="00D03F93">
        <w:rPr>
          <w:rFonts w:asciiTheme="majorBidi" w:hAnsiTheme="majorBidi" w:cstheme="majorBidi"/>
        </w:rPr>
        <w:t xml:space="preserve"> </w:t>
      </w:r>
      <w:r w:rsidRPr="00D03F93">
        <w:rPr>
          <w:rFonts w:asciiTheme="majorBidi" w:hAnsiTheme="majorBidi" w:cstheme="majorBidi"/>
        </w:rPr>
        <w:tab/>
        <w:t>Draft Guidelines, para</w:t>
      </w:r>
      <w:r w:rsidR="00954F89" w:rsidRPr="00D03F93">
        <w:rPr>
          <w:rFonts w:asciiTheme="majorBidi" w:hAnsiTheme="majorBidi" w:cstheme="majorBidi"/>
        </w:rPr>
        <w:t>.</w:t>
      </w:r>
      <w:r w:rsidR="009D5179" w:rsidRPr="00D03F93">
        <w:rPr>
          <w:rFonts w:asciiTheme="majorBidi" w:hAnsiTheme="majorBidi" w:cstheme="majorBidi"/>
        </w:rPr>
        <w:t xml:space="preserve"> </w:t>
      </w:r>
      <w:r w:rsidRPr="00D03F93">
        <w:rPr>
          <w:rFonts w:asciiTheme="majorBidi" w:hAnsiTheme="majorBidi" w:cstheme="majorBidi"/>
        </w:rPr>
        <w:t>313</w:t>
      </w:r>
      <w:r w:rsidR="009D5179" w:rsidRPr="00D03F93">
        <w:rPr>
          <w:rFonts w:asciiTheme="majorBidi" w:hAnsiTheme="majorBidi" w:cstheme="majorBidi"/>
        </w:rPr>
        <w:t>.</w:t>
      </w:r>
    </w:p>
  </w:footnote>
  <w:footnote w:id="24">
    <w:p w14:paraId="1BC8D9F9" w14:textId="01E03314" w:rsidR="00EF334F" w:rsidRPr="002D1B07" w:rsidRDefault="00EF334F">
      <w:pPr>
        <w:pStyle w:val="FootnoteText"/>
        <w:rPr>
          <w:lang w:val="es-ES"/>
        </w:rPr>
      </w:pPr>
      <w:r>
        <w:rPr>
          <w:rStyle w:val="FootnoteReference"/>
        </w:rPr>
        <w:footnoteRef/>
      </w:r>
      <w:r>
        <w:t xml:space="preserve"> </w:t>
      </w:r>
      <w:r w:rsidRPr="00F67609">
        <w:rPr>
          <w:rFonts w:asciiTheme="majorBidi" w:hAnsiTheme="majorBidi" w:cstheme="majorBidi"/>
        </w:rPr>
        <w:tab/>
      </w:r>
      <w:r w:rsidRPr="00F67609">
        <w:rPr>
          <w:rFonts w:asciiTheme="majorBidi" w:eastAsia="Arial" w:hAnsiTheme="majorBidi" w:cstheme="majorBidi"/>
        </w:rPr>
        <w:t>CMA draft revised merger efficiencies guidance, para</w:t>
      </w:r>
      <w:r w:rsidR="00954F89">
        <w:rPr>
          <w:rFonts w:asciiTheme="majorBidi" w:eastAsia="Arial" w:hAnsiTheme="majorBidi" w:cstheme="majorBidi"/>
        </w:rPr>
        <w:t>.</w:t>
      </w:r>
      <w:r w:rsidR="00E55EBF">
        <w:rPr>
          <w:rFonts w:asciiTheme="majorBidi" w:eastAsia="Arial" w:hAnsiTheme="majorBidi" w:cstheme="majorBidi"/>
        </w:rPr>
        <w:t xml:space="preserve"> </w:t>
      </w:r>
      <w:r w:rsidRPr="002D1B07">
        <w:rPr>
          <w:rFonts w:asciiTheme="majorBidi" w:eastAsia="Arial" w:hAnsiTheme="majorBidi" w:cstheme="majorBidi"/>
          <w:lang w:val="es-ES"/>
        </w:rPr>
        <w:t>34.</w:t>
      </w:r>
    </w:p>
  </w:footnote>
  <w:footnote w:id="25">
    <w:p w14:paraId="7439B61C" w14:textId="11144462" w:rsidR="00EF334F" w:rsidRPr="000506D9" w:rsidRDefault="00EF334F">
      <w:pPr>
        <w:pStyle w:val="FootnoteText"/>
        <w:rPr>
          <w:lang w:val="es-ES"/>
        </w:rPr>
      </w:pPr>
      <w:r>
        <w:rPr>
          <w:rStyle w:val="FootnoteReference"/>
        </w:rPr>
        <w:footnoteRef/>
      </w:r>
      <w:r w:rsidRPr="000506D9">
        <w:rPr>
          <w:lang w:val="es-ES"/>
        </w:rPr>
        <w:t xml:space="preserve"> </w:t>
      </w:r>
      <w:r w:rsidR="00E55EBF" w:rsidRPr="000506D9">
        <w:rPr>
          <w:rFonts w:asciiTheme="majorBidi" w:hAnsiTheme="majorBidi" w:cstheme="majorBidi"/>
          <w:lang w:val="es-ES"/>
        </w:rPr>
        <w:tab/>
      </w:r>
      <w:r w:rsidRPr="000506D9">
        <w:rPr>
          <w:rFonts w:asciiTheme="majorBidi" w:hAnsiTheme="majorBidi" w:cstheme="majorBidi"/>
          <w:lang w:val="es-ES"/>
        </w:rPr>
        <w:t>Draft Guidelines, para</w:t>
      </w:r>
      <w:r w:rsidR="00954F89" w:rsidRPr="000506D9">
        <w:rPr>
          <w:rFonts w:asciiTheme="majorBidi" w:hAnsiTheme="majorBidi" w:cstheme="majorBidi"/>
          <w:lang w:val="es-ES"/>
        </w:rPr>
        <w:t xml:space="preserve">. </w:t>
      </w:r>
      <w:r w:rsidRPr="000506D9">
        <w:rPr>
          <w:rFonts w:asciiTheme="majorBidi" w:hAnsiTheme="majorBidi" w:cstheme="majorBidi"/>
          <w:lang w:val="es-ES"/>
        </w:rPr>
        <w:t>323.</w:t>
      </w:r>
    </w:p>
  </w:footnote>
  <w:footnote w:id="26">
    <w:p w14:paraId="39A39837" w14:textId="77D38B8B" w:rsidR="00E7342C" w:rsidRPr="00D03F93" w:rsidRDefault="00E7342C">
      <w:pPr>
        <w:pStyle w:val="FootnoteText"/>
        <w:rPr>
          <w:lang w:val="es-ES"/>
        </w:rPr>
      </w:pPr>
      <w:r>
        <w:rPr>
          <w:rStyle w:val="FootnoteReference"/>
        </w:rPr>
        <w:footnoteRef/>
      </w:r>
      <w:r w:rsidRPr="00D03F93">
        <w:rPr>
          <w:lang w:val="es-ES"/>
        </w:rPr>
        <w:t xml:space="preserve"> </w:t>
      </w:r>
      <w:r w:rsidR="002D7F99">
        <w:rPr>
          <w:lang w:val="es-ES"/>
        </w:rPr>
        <w:tab/>
      </w:r>
      <w:r w:rsidRPr="00D03F93">
        <w:rPr>
          <w:lang w:val="es-ES"/>
        </w:rPr>
        <w:t>Draft Guidel</w:t>
      </w:r>
      <w:r>
        <w:rPr>
          <w:lang w:val="es-ES"/>
        </w:rPr>
        <w:t>ines, para. 315.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8DA3" w14:textId="5E4794CD" w:rsidR="007D20BB" w:rsidRPr="007D20BB" w:rsidRDefault="007D20BB" w:rsidP="007D20BB">
    <w:pPr>
      <w:pStyle w:val="Header"/>
      <w:spacing w:after="240"/>
      <w:jc w:val="left"/>
    </w:pPr>
    <w:r w:rsidRPr="005A0ECA">
      <w:rPr>
        <w:noProof/>
        <w:sz w:val="24"/>
        <w:szCs w:val="24"/>
      </w:rPr>
      <w:drawing>
        <wp:inline distT="0" distB="0" distL="0" distR="0" wp14:anchorId="7B245E7A" wp14:editId="3D495EA3">
          <wp:extent cx="670560" cy="783590"/>
          <wp:effectExtent l="0" t="0" r="0" b="0"/>
          <wp:docPr id="1658974340"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670560" cy="7835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89C6" w14:textId="4FFC39D6" w:rsidR="007D20BB" w:rsidRDefault="007D20BB" w:rsidP="007D20BB">
    <w:pPr>
      <w:pStyle w:val="Header"/>
      <w:spacing w:after="240"/>
      <w:jc w:val="left"/>
    </w:pPr>
    <w:r w:rsidRPr="005A0ECA">
      <w:rPr>
        <w:noProof/>
        <w:sz w:val="24"/>
        <w:szCs w:val="24"/>
      </w:rPr>
      <w:drawing>
        <wp:inline distT="0" distB="0" distL="0" distR="0" wp14:anchorId="1A43AD79" wp14:editId="3162AF8F">
          <wp:extent cx="670560" cy="7835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stretch>
                    <a:fillRect/>
                  </a:stretch>
                </pic:blipFill>
                <pic:spPr>
                  <a:xfrm>
                    <a:off x="0" y="0"/>
                    <a:ext cx="670560" cy="783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DE"/>
    <w:multiLevelType w:val="multilevel"/>
    <w:tmpl w:val="CD6404BA"/>
    <w:name w:val="FWParties"/>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 w15:restartNumberingAfterBreak="0">
    <w:nsid w:val="02912273"/>
    <w:multiLevelType w:val="multilevel"/>
    <w:tmpl w:val="040C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3D95E23"/>
    <w:multiLevelType w:val="multilevel"/>
    <w:tmpl w:val="81DC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321B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4902A3"/>
    <w:multiLevelType w:val="multilevel"/>
    <w:tmpl w:val="C1A8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94E94"/>
    <w:multiLevelType w:val="multilevel"/>
    <w:tmpl w:val="9130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60BE4"/>
    <w:multiLevelType w:val="multilevel"/>
    <w:tmpl w:val="A2A4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67437"/>
    <w:multiLevelType w:val="multilevel"/>
    <w:tmpl w:val="8858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368DF"/>
    <w:multiLevelType w:val="multilevel"/>
    <w:tmpl w:val="040C001F"/>
    <w:lvl w:ilvl="0">
      <w:start w:val="1"/>
      <w:numFmt w:val="decimal"/>
      <w:lvlText w:val="%1."/>
      <w:lvlJc w:val="left"/>
      <w:pPr>
        <w:ind w:left="360" w:hanging="360"/>
      </w:pPr>
      <w:rPr>
        <w:rFonts w:hint="default"/>
        <w:b/>
        <w:i w:val="0"/>
        <w:caps w:val="0"/>
        <w:sz w:val="24"/>
        <w:u w:val="none"/>
      </w:rPr>
    </w:lvl>
    <w:lvl w:ilvl="1">
      <w:start w:val="1"/>
      <w:numFmt w:val="decimal"/>
      <w:lvlText w:val="%1.%2."/>
      <w:lvlJc w:val="left"/>
      <w:pPr>
        <w:ind w:left="792" w:hanging="432"/>
      </w:pPr>
      <w:rPr>
        <w:rFonts w:hint="default"/>
        <w:b/>
        <w:i w:val="0"/>
        <w:caps w:val="0"/>
        <w:u w:val="none"/>
      </w:rPr>
    </w:lvl>
    <w:lvl w:ilvl="2">
      <w:start w:val="1"/>
      <w:numFmt w:val="decimal"/>
      <w:lvlText w:val="%1.%2.%3."/>
      <w:lvlJc w:val="left"/>
      <w:pPr>
        <w:ind w:left="1224" w:hanging="504"/>
      </w:pPr>
      <w:rPr>
        <w:rFonts w:hint="default"/>
        <w:b/>
        <w:i w:val="0"/>
        <w:caps w:val="0"/>
        <w:u w:val="none"/>
      </w:rPr>
    </w:lvl>
    <w:lvl w:ilvl="3">
      <w:start w:val="1"/>
      <w:numFmt w:val="decimal"/>
      <w:lvlText w:val="%1.%2.%3.%4."/>
      <w:lvlJc w:val="left"/>
      <w:pPr>
        <w:ind w:left="1728" w:hanging="648"/>
      </w:pPr>
      <w:rPr>
        <w:rFonts w:hint="default"/>
        <w:b w:val="0"/>
        <w:i w:val="0"/>
        <w:caps w:val="0"/>
        <w:u w:val="none"/>
      </w:rPr>
    </w:lvl>
    <w:lvl w:ilvl="4">
      <w:start w:val="1"/>
      <w:numFmt w:val="decimal"/>
      <w:lvlText w:val="%1.%2.%3.%4.%5."/>
      <w:lvlJc w:val="left"/>
      <w:pPr>
        <w:ind w:left="2232" w:hanging="792"/>
      </w:pPr>
      <w:rPr>
        <w:rFonts w:hint="default"/>
        <w:b w:val="0"/>
        <w:i w:val="0"/>
        <w:caps w:val="0"/>
        <w:u w:val="none"/>
      </w:rPr>
    </w:lvl>
    <w:lvl w:ilvl="5">
      <w:start w:val="1"/>
      <w:numFmt w:val="decimal"/>
      <w:lvlText w:val="%1.%2.%3.%4.%5.%6."/>
      <w:lvlJc w:val="left"/>
      <w:pPr>
        <w:ind w:left="2736" w:hanging="936"/>
      </w:pPr>
      <w:rPr>
        <w:rFonts w:hint="default"/>
        <w:b w:val="0"/>
        <w:i w:val="0"/>
        <w:caps w:val="0"/>
        <w:u w:val="none"/>
      </w:rPr>
    </w:lvl>
    <w:lvl w:ilvl="6">
      <w:start w:val="1"/>
      <w:numFmt w:val="decimal"/>
      <w:lvlText w:val="%1.%2.%3.%4.%5.%6.%7."/>
      <w:lvlJc w:val="left"/>
      <w:pPr>
        <w:ind w:left="3240" w:hanging="1080"/>
      </w:pPr>
      <w:rPr>
        <w:rFonts w:hint="default"/>
        <w:b w:val="0"/>
        <w:i w:val="0"/>
        <w:caps w:val="0"/>
        <w:u w:val="none"/>
      </w:rPr>
    </w:lvl>
    <w:lvl w:ilvl="7">
      <w:start w:val="1"/>
      <w:numFmt w:val="decimal"/>
      <w:lvlText w:val="%1.%2.%3.%4.%5.%6.%7.%8."/>
      <w:lvlJc w:val="left"/>
      <w:pPr>
        <w:ind w:left="3744" w:hanging="1224"/>
      </w:pPr>
      <w:rPr>
        <w:rFonts w:hint="default"/>
        <w:b w:val="0"/>
        <w:i w:val="0"/>
        <w:caps w:val="0"/>
        <w:color w:val="auto"/>
        <w:u w:val="none"/>
      </w:rPr>
    </w:lvl>
    <w:lvl w:ilvl="8">
      <w:start w:val="1"/>
      <w:numFmt w:val="decimal"/>
      <w:lvlText w:val="%1.%2.%3.%4.%5.%6.%7.%8.%9."/>
      <w:lvlJc w:val="left"/>
      <w:pPr>
        <w:ind w:left="4320" w:hanging="1440"/>
      </w:pPr>
      <w:rPr>
        <w:rFonts w:hint="default"/>
        <w:b w:val="0"/>
        <w:i w:val="0"/>
        <w:caps w:val="0"/>
        <w:color w:val="auto"/>
        <w:u w:val="none"/>
      </w:rPr>
    </w:lvl>
  </w:abstractNum>
  <w:abstractNum w:abstractNumId="9" w15:restartNumberingAfterBreak="0">
    <w:nsid w:val="1546546C"/>
    <w:multiLevelType w:val="multilevel"/>
    <w:tmpl w:val="E2B8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246EF"/>
    <w:multiLevelType w:val="multilevel"/>
    <w:tmpl w:val="0B80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90EE2"/>
    <w:multiLevelType w:val="multilevel"/>
    <w:tmpl w:val="2A6A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3F7DEB"/>
    <w:multiLevelType w:val="multilevel"/>
    <w:tmpl w:val="FCD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53509"/>
    <w:multiLevelType w:val="hybridMultilevel"/>
    <w:tmpl w:val="B148B746"/>
    <w:lvl w:ilvl="0" w:tplc="040C0001">
      <w:start w:val="1"/>
      <w:numFmt w:val="bullet"/>
      <w:lvlText w:val=""/>
      <w:lvlJc w:val="left"/>
      <w:pPr>
        <w:ind w:left="1628" w:hanging="360"/>
      </w:pPr>
      <w:rPr>
        <w:rFonts w:ascii="Symbol" w:hAnsi="Symbol" w:hint="default"/>
      </w:rPr>
    </w:lvl>
    <w:lvl w:ilvl="1" w:tplc="040C0003" w:tentative="1">
      <w:start w:val="1"/>
      <w:numFmt w:val="bullet"/>
      <w:lvlText w:val="o"/>
      <w:lvlJc w:val="left"/>
      <w:pPr>
        <w:ind w:left="2348" w:hanging="360"/>
      </w:pPr>
      <w:rPr>
        <w:rFonts w:ascii="Courier New" w:hAnsi="Courier New" w:cs="Courier New" w:hint="default"/>
      </w:rPr>
    </w:lvl>
    <w:lvl w:ilvl="2" w:tplc="040C0005" w:tentative="1">
      <w:start w:val="1"/>
      <w:numFmt w:val="bullet"/>
      <w:lvlText w:val=""/>
      <w:lvlJc w:val="left"/>
      <w:pPr>
        <w:ind w:left="3068" w:hanging="360"/>
      </w:pPr>
      <w:rPr>
        <w:rFonts w:ascii="Wingdings" w:hAnsi="Wingdings" w:hint="default"/>
      </w:rPr>
    </w:lvl>
    <w:lvl w:ilvl="3" w:tplc="040C0001" w:tentative="1">
      <w:start w:val="1"/>
      <w:numFmt w:val="bullet"/>
      <w:lvlText w:val=""/>
      <w:lvlJc w:val="left"/>
      <w:pPr>
        <w:ind w:left="3788" w:hanging="360"/>
      </w:pPr>
      <w:rPr>
        <w:rFonts w:ascii="Symbol" w:hAnsi="Symbol" w:hint="default"/>
      </w:rPr>
    </w:lvl>
    <w:lvl w:ilvl="4" w:tplc="040C0003" w:tentative="1">
      <w:start w:val="1"/>
      <w:numFmt w:val="bullet"/>
      <w:lvlText w:val="o"/>
      <w:lvlJc w:val="left"/>
      <w:pPr>
        <w:ind w:left="4508" w:hanging="360"/>
      </w:pPr>
      <w:rPr>
        <w:rFonts w:ascii="Courier New" w:hAnsi="Courier New" w:cs="Courier New" w:hint="default"/>
      </w:rPr>
    </w:lvl>
    <w:lvl w:ilvl="5" w:tplc="040C0005" w:tentative="1">
      <w:start w:val="1"/>
      <w:numFmt w:val="bullet"/>
      <w:lvlText w:val=""/>
      <w:lvlJc w:val="left"/>
      <w:pPr>
        <w:ind w:left="5228" w:hanging="360"/>
      </w:pPr>
      <w:rPr>
        <w:rFonts w:ascii="Wingdings" w:hAnsi="Wingdings" w:hint="default"/>
      </w:rPr>
    </w:lvl>
    <w:lvl w:ilvl="6" w:tplc="040C0001" w:tentative="1">
      <w:start w:val="1"/>
      <w:numFmt w:val="bullet"/>
      <w:lvlText w:val=""/>
      <w:lvlJc w:val="left"/>
      <w:pPr>
        <w:ind w:left="5948" w:hanging="360"/>
      </w:pPr>
      <w:rPr>
        <w:rFonts w:ascii="Symbol" w:hAnsi="Symbol" w:hint="default"/>
      </w:rPr>
    </w:lvl>
    <w:lvl w:ilvl="7" w:tplc="040C0003" w:tentative="1">
      <w:start w:val="1"/>
      <w:numFmt w:val="bullet"/>
      <w:lvlText w:val="o"/>
      <w:lvlJc w:val="left"/>
      <w:pPr>
        <w:ind w:left="6668" w:hanging="360"/>
      </w:pPr>
      <w:rPr>
        <w:rFonts w:ascii="Courier New" w:hAnsi="Courier New" w:cs="Courier New" w:hint="default"/>
      </w:rPr>
    </w:lvl>
    <w:lvl w:ilvl="8" w:tplc="040C0005" w:tentative="1">
      <w:start w:val="1"/>
      <w:numFmt w:val="bullet"/>
      <w:lvlText w:val=""/>
      <w:lvlJc w:val="left"/>
      <w:pPr>
        <w:ind w:left="7388" w:hanging="360"/>
      </w:pPr>
      <w:rPr>
        <w:rFonts w:ascii="Wingdings" w:hAnsi="Wingdings" w:hint="default"/>
      </w:rPr>
    </w:lvl>
  </w:abstractNum>
  <w:abstractNum w:abstractNumId="14" w15:restartNumberingAfterBreak="0">
    <w:nsid w:val="1DC6642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567F01"/>
    <w:multiLevelType w:val="multilevel"/>
    <w:tmpl w:val="0B2CDF40"/>
    <w:name w:val="FWRecitals"/>
    <w:lvl w:ilvl="0">
      <w:start w:val="1"/>
      <w:numFmt w:val="upperLetter"/>
      <w:pStyle w:val="FWRecitals"/>
      <w:lvlText w:val="(%1)"/>
      <w:lvlJc w:val="left"/>
      <w:pPr>
        <w:tabs>
          <w:tab w:val="num" w:pos="720"/>
        </w:tabs>
        <w:ind w:left="720" w:hanging="720"/>
      </w:pPr>
      <w:rPr>
        <w:b w:val="0"/>
        <w:i w:val="0"/>
        <w:caps w:val="0"/>
        <w:u w:val="none"/>
      </w:rPr>
    </w:lvl>
    <w:lvl w:ilvl="1">
      <w:start w:val="1"/>
      <w:numFmt w:val="none"/>
      <w:suff w:val="nothing"/>
      <w:lvlText w:val=""/>
      <w:lvlJc w:val="left"/>
      <w:pPr>
        <w:tabs>
          <w:tab w:val="num" w:pos="720"/>
        </w:tabs>
        <w:ind w:left="0" w:firstLine="0"/>
      </w:pPr>
      <w:rPr>
        <w:b w:val="0"/>
        <w:i w:val="0"/>
        <w:caps w:val="0"/>
        <w:color w:val="auto"/>
        <w:u w:val="none"/>
      </w:rPr>
    </w:lvl>
    <w:lvl w:ilvl="2">
      <w:start w:val="1"/>
      <w:numFmt w:val="none"/>
      <w:suff w:val="nothing"/>
      <w:lvlText w:val=""/>
      <w:lvlJc w:val="left"/>
      <w:pPr>
        <w:tabs>
          <w:tab w:val="num" w:pos="720"/>
        </w:tabs>
        <w:ind w:left="0" w:firstLine="0"/>
      </w:pPr>
      <w:rPr>
        <w:b w:val="0"/>
        <w:i w:val="0"/>
        <w:caps w:val="0"/>
        <w:color w:val="auto"/>
        <w:u w:val="none"/>
      </w:rPr>
    </w:lvl>
    <w:lvl w:ilvl="3">
      <w:start w:val="1"/>
      <w:numFmt w:val="none"/>
      <w:suff w:val="nothing"/>
      <w:lvlText w:val=""/>
      <w:lvlJc w:val="left"/>
      <w:pPr>
        <w:tabs>
          <w:tab w:val="num" w:pos="720"/>
        </w:tabs>
        <w:ind w:left="0" w:firstLine="0"/>
      </w:pPr>
      <w:rPr>
        <w:b w:val="0"/>
        <w:i w:val="0"/>
        <w:caps w:val="0"/>
        <w:color w:val="auto"/>
        <w:u w:val="none"/>
      </w:rPr>
    </w:lvl>
    <w:lvl w:ilvl="4">
      <w:start w:val="1"/>
      <w:numFmt w:val="none"/>
      <w:suff w:val="nothing"/>
      <w:lvlText w:val=""/>
      <w:lvlJc w:val="left"/>
      <w:pPr>
        <w:tabs>
          <w:tab w:val="num" w:pos="720"/>
        </w:tabs>
        <w:ind w:left="0" w:firstLine="0"/>
      </w:pPr>
      <w:rPr>
        <w:rFonts w:ascii="Symbol" w:hAnsi="Symbol" w:hint="default"/>
        <w:b w:val="0"/>
        <w:i w:val="0"/>
        <w:caps w:val="0"/>
        <w:color w:val="auto"/>
        <w:u w:val="none"/>
      </w:rPr>
    </w:lvl>
    <w:lvl w:ilvl="5">
      <w:start w:val="1"/>
      <w:numFmt w:val="none"/>
      <w:suff w:val="nothing"/>
      <w:lvlText w:val=""/>
      <w:lvlJc w:val="left"/>
      <w:pPr>
        <w:tabs>
          <w:tab w:val="num" w:pos="720"/>
        </w:tabs>
        <w:ind w:left="0" w:firstLine="0"/>
      </w:pPr>
      <w:rPr>
        <w:rFonts w:ascii="Symbol" w:hAnsi="Symbol" w:hint="default"/>
        <w:b w:val="0"/>
        <w:i w:val="0"/>
        <w:caps w:val="0"/>
        <w:color w:val="auto"/>
        <w:u w:val="none"/>
      </w:rPr>
    </w:lvl>
    <w:lvl w:ilvl="6">
      <w:start w:val="1"/>
      <w:numFmt w:val="none"/>
      <w:suff w:val="nothing"/>
      <w:lvlText w:val=""/>
      <w:lvlJc w:val="left"/>
      <w:pPr>
        <w:tabs>
          <w:tab w:val="num" w:pos="720"/>
        </w:tabs>
        <w:ind w:left="0" w:firstLine="0"/>
      </w:pPr>
      <w:rPr>
        <w:rFonts w:ascii="Symbol" w:hAnsi="Symbol" w:hint="default"/>
        <w:b w:val="0"/>
        <w:i w:val="0"/>
        <w:caps w:val="0"/>
        <w:color w:val="auto"/>
        <w:u w:val="none"/>
      </w:rPr>
    </w:lvl>
    <w:lvl w:ilvl="7">
      <w:start w:val="1"/>
      <w:numFmt w:val="none"/>
      <w:suff w:val="nothing"/>
      <w:lvlText w:val=""/>
      <w:lvlJc w:val="left"/>
      <w:pPr>
        <w:tabs>
          <w:tab w:val="num" w:pos="720"/>
        </w:tabs>
        <w:ind w:left="0" w:firstLine="0"/>
      </w:pPr>
      <w:rPr>
        <w:rFonts w:ascii="Symbol" w:hAnsi="Symbol" w:hint="default"/>
        <w:b w:val="0"/>
        <w:i w:val="0"/>
        <w:caps w:val="0"/>
        <w:color w:val="auto"/>
        <w:u w:val="none"/>
      </w:rPr>
    </w:lvl>
    <w:lvl w:ilvl="8">
      <w:start w:val="1"/>
      <w:numFmt w:val="none"/>
      <w:suff w:val="nothing"/>
      <w:lvlText w:val=""/>
      <w:lvlJc w:val="left"/>
      <w:pPr>
        <w:tabs>
          <w:tab w:val="num" w:pos="720"/>
        </w:tabs>
        <w:ind w:left="0" w:firstLine="0"/>
      </w:pPr>
      <w:rPr>
        <w:rFonts w:ascii="Symbol" w:hAnsi="Symbol" w:hint="default"/>
        <w:b w:val="0"/>
        <w:i w:val="0"/>
        <w:caps w:val="0"/>
        <w:color w:val="auto"/>
        <w:u w:val="none"/>
      </w:rPr>
    </w:lvl>
  </w:abstractNum>
  <w:abstractNum w:abstractNumId="16" w15:restartNumberingAfterBreak="0">
    <w:nsid w:val="1E8F7C68"/>
    <w:multiLevelType w:val="multilevel"/>
    <w:tmpl w:val="0130E650"/>
    <w:name w:val="MarginNo"/>
    <w:lvl w:ilvl="0">
      <w:start w:val="1"/>
      <w:numFmt w:val="decimal"/>
      <w:pStyle w:val="MarginNo"/>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17" w15:restartNumberingAfterBreak="0">
    <w:nsid w:val="247A17E2"/>
    <w:multiLevelType w:val="multilevel"/>
    <w:tmpl w:val="AB1E45AA"/>
    <w:name w:val="zzmpFirm2||Firm 2|2|3|1|1|2|36||1|2|33||1|2|33||1|2|32||1|2|32||1|2|32||1|2|32||1|2|32||1|2|32||"/>
    <w:lvl w:ilvl="0">
      <w:start w:val="1"/>
      <w:numFmt w:val="upperLetter"/>
      <w:pStyle w:val="Firm2L1"/>
      <w:lvlText w:val="%1."/>
      <w:lvlJc w:val="left"/>
      <w:pPr>
        <w:tabs>
          <w:tab w:val="num" w:pos="1440"/>
        </w:tabs>
        <w:ind w:left="1440" w:hanging="720"/>
      </w:pPr>
      <w:rPr>
        <w:b w:val="0"/>
        <w:i w:val="0"/>
        <w:caps w:val="0"/>
        <w:u w:val="none"/>
      </w:rPr>
    </w:lvl>
    <w:lvl w:ilvl="1">
      <w:start w:val="1"/>
      <w:numFmt w:val="upperRoman"/>
      <w:pStyle w:val="Firm2L2"/>
      <w:lvlText w:val="%2."/>
      <w:lvlJc w:val="left"/>
      <w:pPr>
        <w:tabs>
          <w:tab w:val="num" w:pos="720"/>
        </w:tabs>
        <w:ind w:left="720" w:hanging="720"/>
      </w:pPr>
      <w:rPr>
        <w:b/>
        <w:i w:val="0"/>
        <w:caps w:val="0"/>
        <w:u w:val="none"/>
      </w:rPr>
    </w:lvl>
    <w:lvl w:ilvl="2">
      <w:start w:val="1"/>
      <w:numFmt w:val="decimal"/>
      <w:pStyle w:val="Firm2L3"/>
      <w:lvlText w:val="%3."/>
      <w:lvlJc w:val="left"/>
      <w:pPr>
        <w:tabs>
          <w:tab w:val="num" w:pos="720"/>
        </w:tabs>
        <w:ind w:left="720" w:hanging="720"/>
      </w:pPr>
      <w:rPr>
        <w:b/>
        <w:i w:val="0"/>
        <w:caps w:val="0"/>
        <w:u w:val="none"/>
      </w:rPr>
    </w:lvl>
    <w:lvl w:ilvl="3">
      <w:start w:val="1"/>
      <w:numFmt w:val="lowerLetter"/>
      <w:pStyle w:val="Firm2L4"/>
      <w:lvlText w:val="%4)"/>
      <w:lvlJc w:val="left"/>
      <w:pPr>
        <w:tabs>
          <w:tab w:val="num" w:pos="720"/>
        </w:tabs>
        <w:ind w:left="720" w:hanging="720"/>
      </w:pPr>
      <w:rPr>
        <w:b w:val="0"/>
        <w:i w:val="0"/>
        <w:caps w:val="0"/>
        <w:u w:val="none"/>
      </w:rPr>
    </w:lvl>
    <w:lvl w:ilvl="4">
      <w:start w:val="27"/>
      <w:numFmt w:val="lowerLetter"/>
      <w:pStyle w:val="Firm2L5"/>
      <w:lvlText w:val="%5)"/>
      <w:lvlJc w:val="left"/>
      <w:pPr>
        <w:tabs>
          <w:tab w:val="num" w:pos="1440"/>
        </w:tabs>
        <w:ind w:left="1440" w:hanging="720"/>
      </w:pPr>
      <w:rPr>
        <w:b w:val="0"/>
        <w:i w:val="0"/>
        <w:caps w:val="0"/>
        <w:u w:val="none"/>
      </w:rPr>
    </w:lvl>
    <w:lvl w:ilvl="5">
      <w:start w:val="1"/>
      <w:numFmt w:val="decimal"/>
      <w:pStyle w:val="Firm2L6"/>
      <w:lvlText w:val="(%6)"/>
      <w:lvlJc w:val="left"/>
      <w:pPr>
        <w:tabs>
          <w:tab w:val="num" w:pos="2160"/>
        </w:tabs>
        <w:ind w:left="2160" w:hanging="720"/>
      </w:pPr>
      <w:rPr>
        <w:b w:val="0"/>
        <w:i w:val="0"/>
        <w:caps w:val="0"/>
        <w:u w:val="none"/>
      </w:rPr>
    </w:lvl>
    <w:lvl w:ilvl="6">
      <w:start w:val="1"/>
      <w:numFmt w:val="lowerLetter"/>
      <w:pStyle w:val="Firm2L7"/>
      <w:lvlText w:val="(%7)"/>
      <w:lvlJc w:val="left"/>
      <w:pPr>
        <w:tabs>
          <w:tab w:val="num" w:pos="2880"/>
        </w:tabs>
        <w:ind w:left="2880" w:hanging="720"/>
      </w:pPr>
      <w:rPr>
        <w:b w:val="0"/>
        <w:i w:val="0"/>
        <w:caps w:val="0"/>
        <w:u w:val="none"/>
      </w:rPr>
    </w:lvl>
    <w:lvl w:ilvl="7">
      <w:start w:val="1"/>
      <w:numFmt w:val="bullet"/>
      <w:lvlRestart w:val="0"/>
      <w:pStyle w:val="Firm2L8"/>
      <w:lvlText w:val="·"/>
      <w:lvlJc w:val="left"/>
      <w:pPr>
        <w:tabs>
          <w:tab w:val="num" w:pos="1440"/>
        </w:tabs>
        <w:ind w:left="1440" w:hanging="720"/>
      </w:pPr>
      <w:rPr>
        <w:rFonts w:ascii="Symbol" w:hAnsi="Symbol" w:hint="default"/>
        <w:b w:val="0"/>
        <w:i w:val="0"/>
        <w:caps w:val="0"/>
        <w:u w:val="none"/>
      </w:rPr>
    </w:lvl>
    <w:lvl w:ilvl="8">
      <w:start w:val="1"/>
      <w:numFmt w:val="bullet"/>
      <w:lvlRestart w:val="0"/>
      <w:pStyle w:val="Firm2L9"/>
      <w:lvlText w:val="·"/>
      <w:lvlJc w:val="left"/>
      <w:pPr>
        <w:tabs>
          <w:tab w:val="num" w:pos="2160"/>
        </w:tabs>
        <w:ind w:left="2160" w:hanging="720"/>
      </w:pPr>
      <w:rPr>
        <w:rFonts w:ascii="Symbol" w:hAnsi="Symbol" w:hint="default"/>
        <w:b w:val="0"/>
        <w:i w:val="0"/>
        <w:caps w:val="0"/>
        <w:u w:val="none"/>
      </w:rPr>
    </w:lvl>
  </w:abstractNum>
  <w:abstractNum w:abstractNumId="18" w15:restartNumberingAfterBreak="0">
    <w:nsid w:val="2C1269E3"/>
    <w:multiLevelType w:val="multilevel"/>
    <w:tmpl w:val="148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5E1913"/>
    <w:multiLevelType w:val="multilevel"/>
    <w:tmpl w:val="4362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D0CD5"/>
    <w:multiLevelType w:val="multilevel"/>
    <w:tmpl w:val="DE0E3A5A"/>
    <w:name w:val="zzmpBullets||z_Bullets|2|5|1|1|0|32||1|0|32||1|2|32||1|0|32||1|0|32||1|0|32||1|0|32||1|0|32||1|0|32||"/>
    <w:lvl w:ilvl="0">
      <w:start w:val="1"/>
      <w:numFmt w:val="bullet"/>
      <w:pStyle w:val="BulletsL1"/>
      <w:lvlText w:val=""/>
      <w:lvlJc w:val="left"/>
      <w:pPr>
        <w:tabs>
          <w:tab w:val="num" w:pos="720"/>
        </w:tabs>
        <w:ind w:left="720" w:hanging="720"/>
      </w:pPr>
      <w:rPr>
        <w:rFonts w:ascii="Symbol" w:hAnsi="Symbol" w:hint="default"/>
        <w:b/>
        <w:i w:val="0"/>
        <w:caps w:val="0"/>
        <w:color w:val="auto"/>
        <w:u w:val="none"/>
      </w:rPr>
    </w:lvl>
    <w:lvl w:ilvl="1">
      <w:start w:val="1"/>
      <w:numFmt w:val="bullet"/>
      <w:lvlRestart w:val="0"/>
      <w:pStyle w:val="BulletsL2"/>
      <w:lvlText w:val="·"/>
      <w:lvlJc w:val="left"/>
      <w:pPr>
        <w:tabs>
          <w:tab w:val="num" w:pos="1440"/>
        </w:tabs>
        <w:ind w:left="1440" w:hanging="720"/>
      </w:pPr>
      <w:rPr>
        <w:rFonts w:ascii="Symbol" w:hAnsi="Symbol" w:hint="default"/>
        <w:b/>
        <w:i w:val="0"/>
        <w:caps w:val="0"/>
        <w:color w:val="auto"/>
        <w:sz w:val="22"/>
        <w:szCs w:val="22"/>
        <w:u w:val="none"/>
      </w:rPr>
    </w:lvl>
    <w:lvl w:ilvl="2">
      <w:start w:val="1"/>
      <w:numFmt w:val="bullet"/>
      <w:lvlRestart w:val="0"/>
      <w:pStyle w:val="BulletsL3"/>
      <w:lvlText w:val="·"/>
      <w:lvlJc w:val="left"/>
      <w:pPr>
        <w:tabs>
          <w:tab w:val="num" w:pos="2160"/>
        </w:tabs>
        <w:ind w:left="2160" w:hanging="720"/>
      </w:pPr>
      <w:rPr>
        <w:rFonts w:ascii="Symbol" w:hAnsi="Symbol" w:hint="default"/>
        <w:b/>
        <w:i w:val="0"/>
        <w:caps w:val="0"/>
        <w:color w:val="auto"/>
        <w:sz w:val="24"/>
        <w:u w:val="none"/>
      </w:rPr>
    </w:lvl>
    <w:lvl w:ilvl="3">
      <w:start w:val="1"/>
      <w:numFmt w:val="bullet"/>
      <w:lvlRestart w:val="0"/>
      <w:pStyle w:val="BulletsL4"/>
      <w:lvlText w:val="·"/>
      <w:lvlJc w:val="left"/>
      <w:pPr>
        <w:tabs>
          <w:tab w:val="num" w:pos="2880"/>
        </w:tabs>
        <w:ind w:left="2880" w:hanging="720"/>
      </w:pPr>
      <w:rPr>
        <w:rFonts w:ascii="Symbol" w:hAnsi="Symbol" w:hint="default"/>
        <w:b/>
        <w:i w:val="0"/>
        <w:caps w:val="0"/>
        <w:color w:val="auto"/>
        <w:sz w:val="24"/>
        <w:u w:val="none"/>
      </w:rPr>
    </w:lvl>
    <w:lvl w:ilvl="4">
      <w:start w:val="1"/>
      <w:numFmt w:val="bullet"/>
      <w:lvlRestart w:val="0"/>
      <w:pStyle w:val="BulletsL5"/>
      <w:lvlText w:val="·"/>
      <w:lvlJc w:val="left"/>
      <w:pPr>
        <w:tabs>
          <w:tab w:val="num" w:pos="3600"/>
        </w:tabs>
        <w:ind w:left="3600" w:hanging="720"/>
      </w:pPr>
      <w:rPr>
        <w:rFonts w:ascii="Symbol" w:hAnsi="Symbol" w:hint="default"/>
        <w:b w:val="0"/>
        <w:i w:val="0"/>
        <w:caps w:val="0"/>
        <w:color w:val="auto"/>
        <w:sz w:val="24"/>
        <w:u w:val="none"/>
      </w:rPr>
    </w:lvl>
    <w:lvl w:ilvl="5">
      <w:start w:val="1"/>
      <w:numFmt w:val="bullet"/>
      <w:lvlRestart w:val="0"/>
      <w:pStyle w:val="BulletsL6"/>
      <w:lvlText w:val="·"/>
      <w:lvlJc w:val="left"/>
      <w:pPr>
        <w:tabs>
          <w:tab w:val="num" w:pos="4320"/>
        </w:tabs>
        <w:ind w:left="4320" w:hanging="720"/>
      </w:pPr>
      <w:rPr>
        <w:rFonts w:ascii="Symbol" w:hAnsi="Symbol" w:hint="default"/>
        <w:b w:val="0"/>
        <w:i w:val="0"/>
        <w:caps w:val="0"/>
        <w:color w:val="auto"/>
        <w:sz w:val="24"/>
        <w:u w:val="none"/>
      </w:rPr>
    </w:lvl>
    <w:lvl w:ilvl="6">
      <w:start w:val="1"/>
      <w:numFmt w:val="bullet"/>
      <w:lvlRestart w:val="0"/>
      <w:pStyle w:val="BulletsL7"/>
      <w:lvlText w:val="·"/>
      <w:lvlJc w:val="left"/>
      <w:pPr>
        <w:tabs>
          <w:tab w:val="num" w:pos="5040"/>
        </w:tabs>
        <w:ind w:left="5040" w:hanging="720"/>
      </w:pPr>
      <w:rPr>
        <w:rFonts w:ascii="Symbol" w:hAnsi="Symbol" w:hint="default"/>
        <w:b w:val="0"/>
        <w:i w:val="0"/>
        <w:caps w:val="0"/>
        <w:color w:val="auto"/>
        <w:sz w:val="24"/>
        <w:u w:val="none"/>
      </w:rPr>
    </w:lvl>
    <w:lvl w:ilvl="7">
      <w:start w:val="1"/>
      <w:numFmt w:val="bullet"/>
      <w:lvlRestart w:val="0"/>
      <w:pStyle w:val="BulletsL8"/>
      <w:lvlText w:val="·"/>
      <w:lvlJc w:val="left"/>
      <w:pPr>
        <w:tabs>
          <w:tab w:val="num" w:pos="5760"/>
        </w:tabs>
        <w:ind w:left="5760" w:hanging="720"/>
      </w:pPr>
      <w:rPr>
        <w:rFonts w:ascii="Symbol" w:hAnsi="Symbol" w:hint="default"/>
        <w:b w:val="0"/>
        <w:i w:val="0"/>
        <w:caps w:val="0"/>
        <w:color w:val="auto"/>
        <w:sz w:val="24"/>
        <w:u w:val="none"/>
      </w:rPr>
    </w:lvl>
    <w:lvl w:ilvl="8">
      <w:start w:val="1"/>
      <w:numFmt w:val="bullet"/>
      <w:lvlRestart w:val="0"/>
      <w:pStyle w:val="BulletsL9"/>
      <w:lvlText w:val="·"/>
      <w:lvlJc w:val="left"/>
      <w:pPr>
        <w:tabs>
          <w:tab w:val="num" w:pos="6480"/>
        </w:tabs>
        <w:ind w:left="6480" w:hanging="720"/>
      </w:pPr>
      <w:rPr>
        <w:rFonts w:ascii="Symbol" w:hAnsi="Symbol" w:hint="default"/>
        <w:b w:val="0"/>
        <w:i w:val="0"/>
        <w:caps w:val="0"/>
        <w:strike w:val="0"/>
        <w:dstrike w:val="0"/>
        <w:vanish w:val="0"/>
        <w:color w:val="auto"/>
        <w:sz w:val="24"/>
        <w:u w:val="none"/>
        <w:effect w:val="none"/>
        <w:vertAlign w:val="baseline"/>
      </w:rPr>
    </w:lvl>
  </w:abstractNum>
  <w:abstractNum w:abstractNumId="21" w15:restartNumberingAfterBreak="0">
    <w:nsid w:val="31CF1911"/>
    <w:multiLevelType w:val="multilevel"/>
    <w:tmpl w:val="89FA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64327"/>
    <w:multiLevelType w:val="multilevel"/>
    <w:tmpl w:val="FAE4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97115"/>
    <w:multiLevelType w:val="hybridMultilevel"/>
    <w:tmpl w:val="085607B4"/>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F8A625E"/>
    <w:multiLevelType w:val="multilevel"/>
    <w:tmpl w:val="EF7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5E5FC7"/>
    <w:multiLevelType w:val="multilevel"/>
    <w:tmpl w:val="4480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1B2F58"/>
    <w:multiLevelType w:val="multilevel"/>
    <w:tmpl w:val="ED98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B94FD7"/>
    <w:multiLevelType w:val="multilevel"/>
    <w:tmpl w:val="7066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787C9C"/>
    <w:multiLevelType w:val="multilevel"/>
    <w:tmpl w:val="992A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96B24"/>
    <w:multiLevelType w:val="multilevel"/>
    <w:tmpl w:val="691241E2"/>
    <w:name w:val="List"/>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Symbol" w:hAnsi="Symbol" w:hint="default"/>
        <w:color w:val="auto"/>
      </w:rPr>
    </w:lvl>
    <w:lvl w:ilvl="3">
      <w:start w:val="1"/>
      <w:numFmt w:val="bullet"/>
      <w:lvlText w:val=""/>
      <w:lvlJc w:val="left"/>
      <w:pPr>
        <w:ind w:left="2880" w:hanging="720"/>
      </w:pPr>
      <w:rPr>
        <w:rFonts w:ascii="Symbol" w:hAnsi="Symbol" w:hint="default"/>
        <w:color w:val="auto"/>
      </w:rPr>
    </w:lvl>
    <w:lvl w:ilvl="4">
      <w:start w:val="1"/>
      <w:numFmt w:val="bullet"/>
      <w:lvlText w:val=""/>
      <w:lvlJc w:val="left"/>
      <w:pPr>
        <w:ind w:left="3600" w:hanging="720"/>
      </w:pPr>
      <w:rPr>
        <w:rFonts w:ascii="Symbol" w:hAnsi="Symbol" w:hint="default"/>
        <w:color w:val="auto"/>
      </w:rPr>
    </w:lvl>
    <w:lvl w:ilvl="5">
      <w:start w:val="1"/>
      <w:numFmt w:val="bullet"/>
      <w:lvlText w:val=""/>
      <w:lvlJc w:val="left"/>
      <w:pPr>
        <w:ind w:left="4320" w:hanging="720"/>
      </w:pPr>
      <w:rPr>
        <w:rFonts w:ascii="Wingdings" w:hAnsi="Wingdings" w:hint="default"/>
      </w:rPr>
    </w:lvl>
    <w:lvl w:ilvl="6">
      <w:start w:val="1"/>
      <w:numFmt w:val="bullet"/>
      <w:lvlText w:val=""/>
      <w:lvlJc w:val="left"/>
      <w:pPr>
        <w:ind w:left="5040" w:hanging="720"/>
      </w:pPr>
      <w:rPr>
        <w:rFonts w:ascii="Symbol" w:hAnsi="Symbol" w:hint="default"/>
      </w:rPr>
    </w:lvl>
    <w:lvl w:ilvl="7">
      <w:start w:val="1"/>
      <w:numFmt w:val="bullet"/>
      <w:lvlText w:val="o"/>
      <w:lvlJc w:val="left"/>
      <w:pPr>
        <w:ind w:left="5760" w:hanging="720"/>
      </w:pPr>
      <w:rPr>
        <w:rFonts w:ascii="Courier New" w:hAnsi="Courier New" w:hint="default"/>
      </w:rPr>
    </w:lvl>
    <w:lvl w:ilvl="8">
      <w:start w:val="1"/>
      <w:numFmt w:val="bullet"/>
      <w:lvlText w:val=""/>
      <w:lvlJc w:val="left"/>
      <w:pPr>
        <w:ind w:left="6480" w:hanging="720"/>
      </w:pPr>
      <w:rPr>
        <w:rFonts w:ascii="Wingdings" w:hAnsi="Wingdings" w:hint="default"/>
      </w:rPr>
    </w:lvl>
  </w:abstractNum>
  <w:abstractNum w:abstractNumId="30" w15:restartNumberingAfterBreak="0">
    <w:nsid w:val="52F837BD"/>
    <w:multiLevelType w:val="multilevel"/>
    <w:tmpl w:val="C9FED34A"/>
    <w:name w:val="Randziffer"/>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1" w15:restartNumberingAfterBreak="0">
    <w:nsid w:val="53A365C1"/>
    <w:multiLevelType w:val="multilevel"/>
    <w:tmpl w:val="E9EE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BD3C3A"/>
    <w:multiLevelType w:val="hybridMultilevel"/>
    <w:tmpl w:val="7ADE3D14"/>
    <w:lvl w:ilvl="0" w:tplc="040C0015">
      <w:start w:val="1"/>
      <w:numFmt w:val="upperLetter"/>
      <w:lvlText w:val="%1."/>
      <w:lvlJc w:val="left"/>
      <w:pPr>
        <w:ind w:left="1440" w:hanging="360"/>
      </w:pPr>
    </w:lvl>
    <w:lvl w:ilvl="1" w:tplc="80C80CF6">
      <w:numFmt w:val="bullet"/>
      <w:lvlText w:val="–"/>
      <w:lvlJc w:val="left"/>
      <w:pPr>
        <w:ind w:left="2160" w:hanging="360"/>
      </w:pPr>
      <w:rPr>
        <w:rFonts w:ascii="Times New Roman" w:eastAsia="SimSun" w:hAnsi="Times New Roman" w:cs="Times New Roman"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55B558EF"/>
    <w:multiLevelType w:val="multilevel"/>
    <w:tmpl w:val="197E4D7E"/>
    <w:name w:val="zzmpFirm1||Firm 1|2|3|1|1|2|0||1|2|32||1|2|32||1|2|32||1|2|32||1|2|32||1|2|32||1|2|32||1|2|32||"/>
    <w:lvl w:ilvl="0">
      <w:start w:val="1"/>
      <w:numFmt w:val="decimal"/>
      <w:pStyle w:val="Firm1L1"/>
      <w:lvlText w:val="(%1)"/>
      <w:lvlJc w:val="left"/>
      <w:pPr>
        <w:tabs>
          <w:tab w:val="num" w:pos="360"/>
        </w:tabs>
        <w:ind w:left="720" w:hanging="720"/>
      </w:pPr>
      <w:rPr>
        <w:rFonts w:hint="default"/>
        <w:b w:val="0"/>
        <w:i w:val="0"/>
        <w:caps w:val="0"/>
        <w:u w:val="none"/>
      </w:rPr>
    </w:lvl>
    <w:lvl w:ilvl="1">
      <w:start w:val="1"/>
      <w:numFmt w:val="lowerLetter"/>
      <w:pStyle w:val="Firm1L2"/>
      <w:lvlText w:val="(%2)"/>
      <w:lvlJc w:val="left"/>
      <w:pPr>
        <w:tabs>
          <w:tab w:val="num" w:pos="1800"/>
        </w:tabs>
        <w:ind w:left="1800" w:hanging="720"/>
      </w:pPr>
      <w:rPr>
        <w:b w:val="0"/>
        <w:i w:val="0"/>
        <w:caps w:val="0"/>
        <w:u w:val="none"/>
      </w:rPr>
    </w:lvl>
    <w:lvl w:ilvl="2">
      <w:start w:val="1"/>
      <w:numFmt w:val="lowerRoman"/>
      <w:pStyle w:val="Firm1L3"/>
      <w:lvlText w:val="(%3)"/>
      <w:lvlJc w:val="left"/>
      <w:pPr>
        <w:tabs>
          <w:tab w:val="num" w:pos="2520"/>
        </w:tabs>
        <w:ind w:left="2520" w:hanging="720"/>
      </w:pPr>
      <w:rPr>
        <w:b w:val="0"/>
        <w:i w:val="0"/>
        <w:caps w:val="0"/>
        <w:u w:val="none"/>
      </w:rPr>
    </w:lvl>
    <w:lvl w:ilvl="3">
      <w:start w:val="1"/>
      <w:numFmt w:val="upperLetter"/>
      <w:pStyle w:val="Firm1L4"/>
      <w:lvlText w:val="(%4)"/>
      <w:lvlJc w:val="left"/>
      <w:pPr>
        <w:tabs>
          <w:tab w:val="num" w:pos="3240"/>
        </w:tabs>
        <w:ind w:left="3240" w:hanging="720"/>
      </w:pPr>
      <w:rPr>
        <w:b w:val="0"/>
        <w:i w:val="0"/>
        <w:caps w:val="0"/>
        <w:u w:val="none"/>
      </w:rPr>
    </w:lvl>
    <w:lvl w:ilvl="4">
      <w:start w:val="1"/>
      <w:numFmt w:val="upperRoman"/>
      <w:pStyle w:val="Firm1L5"/>
      <w:lvlText w:val="(%5)"/>
      <w:lvlJc w:val="left"/>
      <w:pPr>
        <w:tabs>
          <w:tab w:val="num" w:pos="3960"/>
        </w:tabs>
        <w:ind w:left="3960" w:hanging="720"/>
      </w:pPr>
      <w:rPr>
        <w:b w:val="0"/>
        <w:i w:val="0"/>
        <w:caps w:val="0"/>
        <w:u w:val="none"/>
      </w:rPr>
    </w:lvl>
    <w:lvl w:ilvl="5">
      <w:start w:val="27"/>
      <w:numFmt w:val="lowerLetter"/>
      <w:pStyle w:val="Firm1L6"/>
      <w:lvlText w:val="(%6)"/>
      <w:lvlJc w:val="left"/>
      <w:pPr>
        <w:tabs>
          <w:tab w:val="num" w:pos="4680"/>
        </w:tabs>
        <w:ind w:left="4680" w:hanging="720"/>
      </w:pPr>
      <w:rPr>
        <w:b w:val="0"/>
        <w:i w:val="0"/>
        <w:caps w:val="0"/>
        <w:u w:val="none"/>
      </w:rPr>
    </w:lvl>
    <w:lvl w:ilvl="6">
      <w:start w:val="1"/>
      <w:numFmt w:val="decimal"/>
      <w:pStyle w:val="Firm1L7"/>
      <w:lvlText w:val="(%7)"/>
      <w:lvlJc w:val="left"/>
      <w:pPr>
        <w:tabs>
          <w:tab w:val="num" w:pos="4680"/>
        </w:tabs>
        <w:ind w:left="4680" w:hanging="720"/>
      </w:pPr>
      <w:rPr>
        <w:b w:val="0"/>
        <w:i w:val="0"/>
        <w:caps w:val="0"/>
        <w:u w:val="none"/>
      </w:rPr>
    </w:lvl>
    <w:lvl w:ilvl="7">
      <w:start w:val="1"/>
      <w:numFmt w:val="bullet"/>
      <w:lvlRestart w:val="0"/>
      <w:pStyle w:val="Firm1L8"/>
      <w:lvlText w:val="·"/>
      <w:lvlJc w:val="left"/>
      <w:pPr>
        <w:tabs>
          <w:tab w:val="num" w:pos="1800"/>
        </w:tabs>
        <w:ind w:left="1800" w:hanging="720"/>
      </w:pPr>
      <w:rPr>
        <w:rFonts w:ascii="Symbol" w:hAnsi="Symbol" w:hint="default"/>
        <w:b w:val="0"/>
        <w:i w:val="0"/>
        <w:caps w:val="0"/>
        <w:u w:val="none"/>
      </w:rPr>
    </w:lvl>
    <w:lvl w:ilvl="8">
      <w:start w:val="1"/>
      <w:numFmt w:val="bullet"/>
      <w:lvlRestart w:val="0"/>
      <w:pStyle w:val="Firm1L9"/>
      <w:lvlText w:val="·"/>
      <w:lvlJc w:val="left"/>
      <w:pPr>
        <w:tabs>
          <w:tab w:val="num" w:pos="2520"/>
        </w:tabs>
        <w:ind w:left="2520" w:hanging="720"/>
      </w:pPr>
      <w:rPr>
        <w:rFonts w:ascii="Symbol" w:hAnsi="Symbol" w:hint="default"/>
        <w:b w:val="0"/>
        <w:i w:val="0"/>
        <w:caps w:val="0"/>
        <w:u w:val="none"/>
      </w:rPr>
    </w:lvl>
  </w:abstractNum>
  <w:abstractNum w:abstractNumId="34" w15:restartNumberingAfterBreak="0">
    <w:nsid w:val="59B00D9C"/>
    <w:multiLevelType w:val="multilevel"/>
    <w:tmpl w:val="A1A0E7D4"/>
    <w:name w:val="zzmpFirm5||Firm 5|2|3|1|1|2|41||1|2|33||1|2|36||1|2|32||1|2|32||1|2|32||1|2|32||1|2|32||1|2|32||"/>
    <w:lvl w:ilvl="0">
      <w:start w:val="1"/>
      <w:numFmt w:val="decimal"/>
      <w:pStyle w:val="Firm5L1"/>
      <w:lvlText w:val="%1."/>
      <w:lvlJc w:val="left"/>
      <w:pPr>
        <w:tabs>
          <w:tab w:val="num" w:pos="720"/>
        </w:tabs>
        <w:ind w:left="720" w:hanging="720"/>
      </w:pPr>
      <w:rPr>
        <w:b/>
        <w:i w:val="0"/>
        <w:caps/>
        <w:smallCaps w:val="0"/>
        <w:u w:val="none"/>
      </w:rPr>
    </w:lvl>
    <w:lvl w:ilvl="1">
      <w:start w:val="1"/>
      <w:numFmt w:val="decimal"/>
      <w:pStyle w:val="Firm5L2"/>
      <w:lvlText w:val="%1.%2"/>
      <w:lvlJc w:val="left"/>
      <w:pPr>
        <w:tabs>
          <w:tab w:val="num" w:pos="720"/>
        </w:tabs>
        <w:ind w:left="720" w:hanging="720"/>
      </w:pPr>
      <w:rPr>
        <w:b/>
        <w:i w:val="0"/>
        <w:caps w:val="0"/>
        <w:u w:val="none"/>
      </w:rPr>
    </w:lvl>
    <w:lvl w:ilvl="2">
      <w:start w:val="1"/>
      <w:numFmt w:val="decimal"/>
      <w:pStyle w:val="Firm5L3"/>
      <w:lvlText w:val="%1.%2.%3"/>
      <w:lvlJc w:val="left"/>
      <w:pPr>
        <w:tabs>
          <w:tab w:val="num" w:pos="1440"/>
        </w:tabs>
        <w:ind w:left="1440" w:hanging="720"/>
      </w:pPr>
      <w:rPr>
        <w:b w:val="0"/>
        <w:i w:val="0"/>
        <w:caps w:val="0"/>
        <w:u w:val="none"/>
      </w:rPr>
    </w:lvl>
    <w:lvl w:ilvl="3">
      <w:start w:val="1"/>
      <w:numFmt w:val="lowerLetter"/>
      <w:pStyle w:val="Firm5L4"/>
      <w:lvlText w:val="(%4)"/>
      <w:lvlJc w:val="left"/>
      <w:pPr>
        <w:tabs>
          <w:tab w:val="num" w:pos="1440"/>
        </w:tabs>
        <w:ind w:left="1440" w:hanging="720"/>
      </w:pPr>
      <w:rPr>
        <w:b w:val="0"/>
        <w:i w:val="0"/>
        <w:caps w:val="0"/>
        <w:u w:val="none"/>
      </w:rPr>
    </w:lvl>
    <w:lvl w:ilvl="4">
      <w:start w:val="1"/>
      <w:numFmt w:val="lowerRoman"/>
      <w:pStyle w:val="Firm5L5"/>
      <w:lvlText w:val="(%5)"/>
      <w:lvlJc w:val="left"/>
      <w:pPr>
        <w:tabs>
          <w:tab w:val="num" w:pos="2160"/>
        </w:tabs>
        <w:ind w:left="2160" w:hanging="720"/>
      </w:pPr>
      <w:rPr>
        <w:b w:val="0"/>
        <w:i w:val="0"/>
        <w:caps w:val="0"/>
        <w:u w:val="none"/>
      </w:rPr>
    </w:lvl>
    <w:lvl w:ilvl="5">
      <w:start w:val="1"/>
      <w:numFmt w:val="upperLetter"/>
      <w:pStyle w:val="Firm5L6"/>
      <w:lvlText w:val="(%6)"/>
      <w:lvlJc w:val="left"/>
      <w:pPr>
        <w:tabs>
          <w:tab w:val="num" w:pos="2880"/>
        </w:tabs>
        <w:ind w:left="2880" w:hanging="720"/>
      </w:pPr>
      <w:rPr>
        <w:b w:val="0"/>
        <w:i w:val="0"/>
        <w:caps w:val="0"/>
        <w:u w:val="none"/>
      </w:rPr>
    </w:lvl>
    <w:lvl w:ilvl="6">
      <w:start w:val="1"/>
      <w:numFmt w:val="upperRoman"/>
      <w:pStyle w:val="Firm5L7"/>
      <w:lvlText w:val="(%7)"/>
      <w:lvlJc w:val="left"/>
      <w:pPr>
        <w:tabs>
          <w:tab w:val="num" w:pos="3600"/>
        </w:tabs>
        <w:ind w:left="3600" w:hanging="720"/>
      </w:pPr>
      <w:rPr>
        <w:b w:val="0"/>
        <w:i w:val="0"/>
        <w:caps w:val="0"/>
        <w:u w:val="none"/>
      </w:rPr>
    </w:lvl>
    <w:lvl w:ilvl="7">
      <w:start w:val="27"/>
      <w:numFmt w:val="lowerLetter"/>
      <w:pStyle w:val="Firm5L8"/>
      <w:lvlText w:val="(%8)"/>
      <w:lvlJc w:val="left"/>
      <w:pPr>
        <w:tabs>
          <w:tab w:val="num" w:pos="4320"/>
        </w:tabs>
        <w:ind w:left="4320" w:hanging="720"/>
      </w:pPr>
      <w:rPr>
        <w:rFonts w:ascii="Times New Roman" w:hAnsi="Times New Roman" w:cs="Times New Roman"/>
        <w:b w:val="0"/>
        <w:i w:val="0"/>
        <w:caps w:val="0"/>
        <w:u w:val="none"/>
      </w:rPr>
    </w:lvl>
    <w:lvl w:ilvl="8">
      <w:start w:val="1"/>
      <w:numFmt w:val="decimal"/>
      <w:pStyle w:val="Firm5L9"/>
      <w:lvlText w:val="(%9)"/>
      <w:lvlJc w:val="left"/>
      <w:pPr>
        <w:tabs>
          <w:tab w:val="num" w:pos="5040"/>
        </w:tabs>
        <w:ind w:left="5040" w:hanging="720"/>
      </w:pPr>
      <w:rPr>
        <w:rFonts w:ascii="Times New Roman" w:hAnsi="Times New Roman" w:cs="Times New Roman"/>
        <w:b w:val="0"/>
        <w:i w:val="0"/>
        <w:caps w:val="0"/>
        <w:u w:val="none"/>
      </w:rPr>
    </w:lvl>
  </w:abstractNum>
  <w:abstractNum w:abstractNumId="35" w15:restartNumberingAfterBreak="0">
    <w:nsid w:val="5E634F3D"/>
    <w:multiLevelType w:val="multilevel"/>
    <w:tmpl w:val="4710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41E15"/>
    <w:multiLevelType w:val="multilevel"/>
    <w:tmpl w:val="A61E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94FDD"/>
    <w:multiLevelType w:val="hybridMultilevel"/>
    <w:tmpl w:val="1A4423D0"/>
    <w:lvl w:ilvl="0" w:tplc="040C0013">
      <w:start w:val="1"/>
      <w:numFmt w:val="upperRoman"/>
      <w:lvlText w:val="%1."/>
      <w:lvlJc w:val="righ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60EB6054"/>
    <w:multiLevelType w:val="multilevel"/>
    <w:tmpl w:val="635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2C6D01"/>
    <w:multiLevelType w:val="multilevel"/>
    <w:tmpl w:val="1E4A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355A15"/>
    <w:multiLevelType w:val="hybridMultilevel"/>
    <w:tmpl w:val="EB3E3B76"/>
    <w:lvl w:ilvl="0" w:tplc="A71EC35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EDE1CAB"/>
    <w:multiLevelType w:val="multilevel"/>
    <w:tmpl w:val="F5C8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26B6E"/>
    <w:multiLevelType w:val="multilevel"/>
    <w:tmpl w:val="688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2180D"/>
    <w:multiLevelType w:val="multilevel"/>
    <w:tmpl w:val="9F7A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2A1767"/>
    <w:multiLevelType w:val="multilevel"/>
    <w:tmpl w:val="DB2A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04878"/>
    <w:multiLevelType w:val="hybridMultilevel"/>
    <w:tmpl w:val="CAD4BA78"/>
    <w:lvl w:ilvl="0" w:tplc="AA7E1062">
      <w:start w:val="1"/>
      <w:numFmt w:val="decimal"/>
      <w:lvlRestart w:val="0"/>
      <w:pStyle w:val="ListNumbers"/>
      <w:lvlText w:val="%1."/>
      <w:lvlJc w:val="left"/>
      <w:pPr>
        <w:tabs>
          <w:tab w:val="num" w:pos="851"/>
        </w:tabs>
        <w:ind w:left="851" w:hanging="851"/>
      </w:pPr>
      <w:rPr>
        <w:rFonts w:ascii="Arial" w:hAnsi="Arial" w:cs="Arial" w:hint="default"/>
        <w:b w:val="0"/>
        <w:bCs/>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15C803A6">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4502358">
    <w:abstractNumId w:val="15"/>
  </w:num>
  <w:num w:numId="2" w16cid:durableId="1424451509">
    <w:abstractNumId w:val="0"/>
  </w:num>
  <w:num w:numId="3" w16cid:durableId="2128307801">
    <w:abstractNumId w:val="16"/>
  </w:num>
  <w:num w:numId="4" w16cid:durableId="2076389695">
    <w:abstractNumId w:val="30"/>
  </w:num>
  <w:num w:numId="5" w16cid:durableId="1470854392">
    <w:abstractNumId w:val="8"/>
  </w:num>
  <w:num w:numId="6" w16cid:durableId="1822694657">
    <w:abstractNumId w:val="20"/>
  </w:num>
  <w:num w:numId="7" w16cid:durableId="500851768">
    <w:abstractNumId w:val="33"/>
  </w:num>
  <w:num w:numId="8" w16cid:durableId="747580405">
    <w:abstractNumId w:val="45"/>
  </w:num>
  <w:num w:numId="9" w16cid:durableId="1041395286">
    <w:abstractNumId w:val="23"/>
  </w:num>
  <w:num w:numId="10" w16cid:durableId="909726922">
    <w:abstractNumId w:val="13"/>
  </w:num>
  <w:num w:numId="11" w16cid:durableId="911160238">
    <w:abstractNumId w:val="40"/>
  </w:num>
  <w:num w:numId="12" w16cid:durableId="212811168">
    <w:abstractNumId w:val="32"/>
  </w:num>
  <w:num w:numId="13" w16cid:durableId="1653682565">
    <w:abstractNumId w:val="43"/>
  </w:num>
  <w:num w:numId="14" w16cid:durableId="2110351856">
    <w:abstractNumId w:val="22"/>
  </w:num>
  <w:num w:numId="15" w16cid:durableId="142897567">
    <w:abstractNumId w:val="11"/>
  </w:num>
  <w:num w:numId="16" w16cid:durableId="791703851">
    <w:abstractNumId w:val="25"/>
  </w:num>
  <w:num w:numId="17" w16cid:durableId="797770539">
    <w:abstractNumId w:val="44"/>
  </w:num>
  <w:num w:numId="18" w16cid:durableId="1139108450">
    <w:abstractNumId w:val="18"/>
  </w:num>
  <w:num w:numId="19" w16cid:durableId="1935243579">
    <w:abstractNumId w:val="39"/>
  </w:num>
  <w:num w:numId="20" w16cid:durableId="80881108">
    <w:abstractNumId w:val="10"/>
  </w:num>
  <w:num w:numId="21" w16cid:durableId="154145949">
    <w:abstractNumId w:val="2"/>
  </w:num>
  <w:num w:numId="22" w16cid:durableId="746920435">
    <w:abstractNumId w:val="28"/>
  </w:num>
  <w:num w:numId="23" w16cid:durableId="1944409839">
    <w:abstractNumId w:val="7"/>
  </w:num>
  <w:num w:numId="24" w16cid:durableId="1445925226">
    <w:abstractNumId w:val="38"/>
  </w:num>
  <w:num w:numId="25" w16cid:durableId="27293651">
    <w:abstractNumId w:val="5"/>
  </w:num>
  <w:num w:numId="26" w16cid:durableId="541677723">
    <w:abstractNumId w:val="26"/>
  </w:num>
  <w:num w:numId="27" w16cid:durableId="1001587883">
    <w:abstractNumId w:val="31"/>
  </w:num>
  <w:num w:numId="28" w16cid:durableId="1771970247">
    <w:abstractNumId w:val="42"/>
  </w:num>
  <w:num w:numId="29" w16cid:durableId="1965036019">
    <w:abstractNumId w:val="36"/>
  </w:num>
  <w:num w:numId="30" w16cid:durableId="756443838">
    <w:abstractNumId w:val="4"/>
  </w:num>
  <w:num w:numId="31" w16cid:durableId="79299003">
    <w:abstractNumId w:val="35"/>
  </w:num>
  <w:num w:numId="32" w16cid:durableId="590238209">
    <w:abstractNumId w:val="19"/>
  </w:num>
  <w:num w:numId="33" w16cid:durableId="1979913497">
    <w:abstractNumId w:val="12"/>
  </w:num>
  <w:num w:numId="34" w16cid:durableId="864169752">
    <w:abstractNumId w:val="27"/>
  </w:num>
  <w:num w:numId="35" w16cid:durableId="1415281145">
    <w:abstractNumId w:val="9"/>
  </w:num>
  <w:num w:numId="36" w16cid:durableId="1533112339">
    <w:abstractNumId w:val="8"/>
  </w:num>
  <w:num w:numId="37" w16cid:durableId="178474517">
    <w:abstractNumId w:val="8"/>
  </w:num>
  <w:num w:numId="38" w16cid:durableId="2084833458">
    <w:abstractNumId w:val="8"/>
  </w:num>
  <w:num w:numId="39" w16cid:durableId="702094744">
    <w:abstractNumId w:val="3"/>
  </w:num>
  <w:num w:numId="40" w16cid:durableId="137261177">
    <w:abstractNumId w:val="8"/>
  </w:num>
  <w:num w:numId="41" w16cid:durableId="2029795033">
    <w:abstractNumId w:val="8"/>
  </w:num>
  <w:num w:numId="42" w16cid:durableId="1296720062">
    <w:abstractNumId w:val="14"/>
  </w:num>
  <w:num w:numId="43" w16cid:durableId="1862157712">
    <w:abstractNumId w:val="37"/>
  </w:num>
  <w:num w:numId="44" w16cid:durableId="1275331093">
    <w:abstractNumId w:val="1"/>
  </w:num>
  <w:num w:numId="45" w16cid:durableId="823354860">
    <w:abstractNumId w:val="41"/>
  </w:num>
  <w:num w:numId="46" w16cid:durableId="1194687838">
    <w:abstractNumId w:val="24"/>
  </w:num>
  <w:num w:numId="47" w16cid:durableId="1601374656">
    <w:abstractNumId w:val="21"/>
  </w:num>
  <w:num w:numId="48" w16cid:durableId="1883439955">
    <w:abstractNumId w:val="6"/>
  </w:num>
  <w:num w:numId="49" w16cid:durableId="1146168761">
    <w:abstractNumId w:val="33"/>
  </w:num>
  <w:num w:numId="50" w16cid:durableId="857157555">
    <w:abstractNumId w:val="33"/>
  </w:num>
  <w:num w:numId="51" w16cid:durableId="483812077">
    <w:abstractNumId w:val="17"/>
  </w:num>
  <w:num w:numId="52" w16cid:durableId="1477381034">
    <w:abstractNumId w:val="17"/>
  </w:num>
  <w:num w:numId="53" w16cid:durableId="567231559">
    <w:abstractNumId w:val="17"/>
  </w:num>
  <w:num w:numId="54" w16cid:durableId="271403755">
    <w:abstractNumId w:val="17"/>
  </w:num>
  <w:num w:numId="55" w16cid:durableId="1671565670">
    <w:abstractNumId w:val="17"/>
  </w:num>
  <w:num w:numId="56" w16cid:durableId="973370523">
    <w:abstractNumId w:val="17"/>
  </w:num>
  <w:num w:numId="57" w16cid:durableId="734662316">
    <w:abstractNumId w:val="17"/>
  </w:num>
  <w:num w:numId="58" w16cid:durableId="2135900433">
    <w:abstractNumId w:val="17"/>
  </w:num>
  <w:num w:numId="59" w16cid:durableId="1474981820">
    <w:abstractNumId w:val="17"/>
  </w:num>
  <w:num w:numId="60" w16cid:durableId="285278823">
    <w:abstractNumId w:val="34"/>
  </w:num>
  <w:num w:numId="61" w16cid:durableId="1473014939">
    <w:abstractNumId w:val="34"/>
  </w:num>
  <w:num w:numId="62" w16cid:durableId="933636336">
    <w:abstractNumId w:val="34"/>
  </w:num>
  <w:num w:numId="63" w16cid:durableId="927079504">
    <w:abstractNumId w:val="34"/>
  </w:num>
  <w:num w:numId="64" w16cid:durableId="1642153957">
    <w:abstractNumId w:val="34"/>
  </w:num>
  <w:num w:numId="65" w16cid:durableId="1492604187">
    <w:abstractNumId w:val="34"/>
  </w:num>
  <w:num w:numId="66" w16cid:durableId="721515674">
    <w:abstractNumId w:val="34"/>
  </w:num>
  <w:num w:numId="67" w16cid:durableId="81344360">
    <w:abstractNumId w:val="34"/>
  </w:num>
  <w:num w:numId="68" w16cid:durableId="1371144889">
    <w:abstractNumId w:val="3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Bullets" w:val="||z_Bullets|2|5|1|1|0|32||1|0|32||1|2|32||1|0|32||1|0|32||1|0|32||1|0|32||1|0|32||1|0|32||"/>
    <w:docVar w:name="zzmpFirm1" w:val="||Firm 1|2|3|1|1|2|0||1|2|32||1|2|32||1|2|32||1|2|32||1|2|32||1|2|32||1|2|32||1|2|32||"/>
    <w:docVar w:name="zzmpFirm2" w:val="||Firm 2|2|3|1|1|2|36||1|2|33||1|2|33||1|2|32||1|2|32||1|2|32||1|2|32||1|2|32||1|2|32||"/>
    <w:docVar w:name="zzmpFirm5" w:val="||Firm 5|2|3|1|1|2|41||1|2|33||1|2|36||1|2|32||1|2|32||1|2|32||1|2|32||1|2|32||1|2|32||"/>
    <w:docVar w:name="zzmpFixedCurScheme" w:val="Firm5"/>
    <w:docVar w:name="zzmpFixedCurScheme_9.0" w:val="2zzmpFirm5"/>
    <w:docVar w:name="zzmpLTFontsClean" w:val="0.2665979"/>
    <w:docVar w:name="zzmpnSession" w:val="0.9361841"/>
    <w:docVar w:name="zzmpSch1" w:val="||Schedule1|2|3|1|4|2|33||1|2|33||1|2|33||1|2|32||1|2|32||1|2|32||1|2|32||1|2|32||1|2|32||"/>
  </w:docVars>
  <w:rsids>
    <w:rsidRoot w:val="00391839"/>
    <w:rsid w:val="00000527"/>
    <w:rsid w:val="0000093B"/>
    <w:rsid w:val="00000CA1"/>
    <w:rsid w:val="00002AF9"/>
    <w:rsid w:val="00002DA7"/>
    <w:rsid w:val="00003299"/>
    <w:rsid w:val="00004992"/>
    <w:rsid w:val="00006073"/>
    <w:rsid w:val="00006472"/>
    <w:rsid w:val="00006F6C"/>
    <w:rsid w:val="00007862"/>
    <w:rsid w:val="00010BEF"/>
    <w:rsid w:val="00011FAF"/>
    <w:rsid w:val="00012863"/>
    <w:rsid w:val="00012E54"/>
    <w:rsid w:val="000132A5"/>
    <w:rsid w:val="000150FB"/>
    <w:rsid w:val="00015B04"/>
    <w:rsid w:val="0001630D"/>
    <w:rsid w:val="00016F92"/>
    <w:rsid w:val="000174D6"/>
    <w:rsid w:val="00025337"/>
    <w:rsid w:val="0002581D"/>
    <w:rsid w:val="0002698E"/>
    <w:rsid w:val="00027C76"/>
    <w:rsid w:val="00032A33"/>
    <w:rsid w:val="000334EC"/>
    <w:rsid w:val="00033D2F"/>
    <w:rsid w:val="00034D57"/>
    <w:rsid w:val="000367E3"/>
    <w:rsid w:val="0004031B"/>
    <w:rsid w:val="00041BD6"/>
    <w:rsid w:val="000465CF"/>
    <w:rsid w:val="000506D9"/>
    <w:rsid w:val="00050B61"/>
    <w:rsid w:val="00050F6E"/>
    <w:rsid w:val="000517F5"/>
    <w:rsid w:val="00051B3E"/>
    <w:rsid w:val="00055668"/>
    <w:rsid w:val="0005678C"/>
    <w:rsid w:val="00061644"/>
    <w:rsid w:val="00061A47"/>
    <w:rsid w:val="000626E8"/>
    <w:rsid w:val="00063D82"/>
    <w:rsid w:val="0006430B"/>
    <w:rsid w:val="00065734"/>
    <w:rsid w:val="0007012A"/>
    <w:rsid w:val="00070B7E"/>
    <w:rsid w:val="00072601"/>
    <w:rsid w:val="00073DA1"/>
    <w:rsid w:val="0008084F"/>
    <w:rsid w:val="00082FE9"/>
    <w:rsid w:val="00083E10"/>
    <w:rsid w:val="00083F08"/>
    <w:rsid w:val="000845B1"/>
    <w:rsid w:val="00084E98"/>
    <w:rsid w:val="00085075"/>
    <w:rsid w:val="0008643B"/>
    <w:rsid w:val="00090ECE"/>
    <w:rsid w:val="00091A40"/>
    <w:rsid w:val="0009212E"/>
    <w:rsid w:val="0009219D"/>
    <w:rsid w:val="00092A02"/>
    <w:rsid w:val="00093E43"/>
    <w:rsid w:val="000944A2"/>
    <w:rsid w:val="000949F3"/>
    <w:rsid w:val="00094A66"/>
    <w:rsid w:val="0009662C"/>
    <w:rsid w:val="000968DC"/>
    <w:rsid w:val="0009740C"/>
    <w:rsid w:val="000978CB"/>
    <w:rsid w:val="000A00B9"/>
    <w:rsid w:val="000A05E7"/>
    <w:rsid w:val="000A0662"/>
    <w:rsid w:val="000A276A"/>
    <w:rsid w:val="000A464B"/>
    <w:rsid w:val="000A5D74"/>
    <w:rsid w:val="000B1EEC"/>
    <w:rsid w:val="000B270D"/>
    <w:rsid w:val="000B273B"/>
    <w:rsid w:val="000B2753"/>
    <w:rsid w:val="000B28F5"/>
    <w:rsid w:val="000B5221"/>
    <w:rsid w:val="000B73F2"/>
    <w:rsid w:val="000C123E"/>
    <w:rsid w:val="000C1C66"/>
    <w:rsid w:val="000C2BC3"/>
    <w:rsid w:val="000C47E2"/>
    <w:rsid w:val="000C54E3"/>
    <w:rsid w:val="000C618F"/>
    <w:rsid w:val="000C6A67"/>
    <w:rsid w:val="000C7C78"/>
    <w:rsid w:val="000D07D6"/>
    <w:rsid w:val="000D3499"/>
    <w:rsid w:val="000D6AB0"/>
    <w:rsid w:val="000D6B94"/>
    <w:rsid w:val="000D7137"/>
    <w:rsid w:val="000E2D1A"/>
    <w:rsid w:val="000E47BB"/>
    <w:rsid w:val="000E4B45"/>
    <w:rsid w:val="000E6D4C"/>
    <w:rsid w:val="000E6F1A"/>
    <w:rsid w:val="000F05BB"/>
    <w:rsid w:val="000F5401"/>
    <w:rsid w:val="000F5EFD"/>
    <w:rsid w:val="000F6FF9"/>
    <w:rsid w:val="000F72CD"/>
    <w:rsid w:val="001017BF"/>
    <w:rsid w:val="00102B2A"/>
    <w:rsid w:val="00103A13"/>
    <w:rsid w:val="00103FE7"/>
    <w:rsid w:val="0010533D"/>
    <w:rsid w:val="00105B91"/>
    <w:rsid w:val="00106512"/>
    <w:rsid w:val="0010661E"/>
    <w:rsid w:val="00111C9D"/>
    <w:rsid w:val="001121C4"/>
    <w:rsid w:val="001133C1"/>
    <w:rsid w:val="0011521A"/>
    <w:rsid w:val="0011703E"/>
    <w:rsid w:val="00117290"/>
    <w:rsid w:val="001215FE"/>
    <w:rsid w:val="00122E06"/>
    <w:rsid w:val="0012503C"/>
    <w:rsid w:val="00125BAE"/>
    <w:rsid w:val="00126108"/>
    <w:rsid w:val="0012690D"/>
    <w:rsid w:val="001274B4"/>
    <w:rsid w:val="00127A5B"/>
    <w:rsid w:val="0013070A"/>
    <w:rsid w:val="00131034"/>
    <w:rsid w:val="00131558"/>
    <w:rsid w:val="00131EB6"/>
    <w:rsid w:val="00136EB7"/>
    <w:rsid w:val="00137711"/>
    <w:rsid w:val="00141FE6"/>
    <w:rsid w:val="00142A14"/>
    <w:rsid w:val="00146039"/>
    <w:rsid w:val="00151642"/>
    <w:rsid w:val="00151F7C"/>
    <w:rsid w:val="00153816"/>
    <w:rsid w:val="00155638"/>
    <w:rsid w:val="00157DF7"/>
    <w:rsid w:val="00161160"/>
    <w:rsid w:val="00161A61"/>
    <w:rsid w:val="00161B99"/>
    <w:rsid w:val="001638D7"/>
    <w:rsid w:val="00165332"/>
    <w:rsid w:val="001673A8"/>
    <w:rsid w:val="00171F85"/>
    <w:rsid w:val="00173B33"/>
    <w:rsid w:val="0017459D"/>
    <w:rsid w:val="001758D5"/>
    <w:rsid w:val="00176E1F"/>
    <w:rsid w:val="00180DFB"/>
    <w:rsid w:val="00181469"/>
    <w:rsid w:val="00181FF9"/>
    <w:rsid w:val="00183675"/>
    <w:rsid w:val="00190F9E"/>
    <w:rsid w:val="00193271"/>
    <w:rsid w:val="00194E29"/>
    <w:rsid w:val="00195122"/>
    <w:rsid w:val="00195942"/>
    <w:rsid w:val="001A0118"/>
    <w:rsid w:val="001A18AB"/>
    <w:rsid w:val="001A1A62"/>
    <w:rsid w:val="001A2D42"/>
    <w:rsid w:val="001A5D25"/>
    <w:rsid w:val="001A7942"/>
    <w:rsid w:val="001B7973"/>
    <w:rsid w:val="001C353A"/>
    <w:rsid w:val="001C53F0"/>
    <w:rsid w:val="001C588F"/>
    <w:rsid w:val="001C671A"/>
    <w:rsid w:val="001C6B9E"/>
    <w:rsid w:val="001C7488"/>
    <w:rsid w:val="001D4261"/>
    <w:rsid w:val="001D4565"/>
    <w:rsid w:val="001D5251"/>
    <w:rsid w:val="001D5324"/>
    <w:rsid w:val="001D5EED"/>
    <w:rsid w:val="001D6D10"/>
    <w:rsid w:val="001D7BDA"/>
    <w:rsid w:val="001E129E"/>
    <w:rsid w:val="001E135D"/>
    <w:rsid w:val="001E29AB"/>
    <w:rsid w:val="001E4764"/>
    <w:rsid w:val="001E624C"/>
    <w:rsid w:val="001E6380"/>
    <w:rsid w:val="001E7099"/>
    <w:rsid w:val="001E77FC"/>
    <w:rsid w:val="001F01DB"/>
    <w:rsid w:val="001F119D"/>
    <w:rsid w:val="001F2E2D"/>
    <w:rsid w:val="001F318C"/>
    <w:rsid w:val="001F3C32"/>
    <w:rsid w:val="001F5A71"/>
    <w:rsid w:val="001F6A27"/>
    <w:rsid w:val="001F6AD6"/>
    <w:rsid w:val="001F719A"/>
    <w:rsid w:val="002001D7"/>
    <w:rsid w:val="00200C67"/>
    <w:rsid w:val="00200F0D"/>
    <w:rsid w:val="00201620"/>
    <w:rsid w:val="00201F6E"/>
    <w:rsid w:val="00202A66"/>
    <w:rsid w:val="00204074"/>
    <w:rsid w:val="0020424E"/>
    <w:rsid w:val="00204860"/>
    <w:rsid w:val="0020501B"/>
    <w:rsid w:val="002054FC"/>
    <w:rsid w:val="002059B6"/>
    <w:rsid w:val="00205DEB"/>
    <w:rsid w:val="002063D5"/>
    <w:rsid w:val="00210E6D"/>
    <w:rsid w:val="0021108F"/>
    <w:rsid w:val="0021135D"/>
    <w:rsid w:val="0021330D"/>
    <w:rsid w:val="00213315"/>
    <w:rsid w:val="002143FE"/>
    <w:rsid w:val="00216A0A"/>
    <w:rsid w:val="00217DB8"/>
    <w:rsid w:val="00220995"/>
    <w:rsid w:val="00220C8B"/>
    <w:rsid w:val="0022107B"/>
    <w:rsid w:val="0022288B"/>
    <w:rsid w:val="002235B6"/>
    <w:rsid w:val="00223DE3"/>
    <w:rsid w:val="0022448D"/>
    <w:rsid w:val="00225815"/>
    <w:rsid w:val="00231FE0"/>
    <w:rsid w:val="00232556"/>
    <w:rsid w:val="002329DA"/>
    <w:rsid w:val="00234190"/>
    <w:rsid w:val="002363C6"/>
    <w:rsid w:val="00236994"/>
    <w:rsid w:val="00236E14"/>
    <w:rsid w:val="00237543"/>
    <w:rsid w:val="002377EA"/>
    <w:rsid w:val="00237C69"/>
    <w:rsid w:val="002407F8"/>
    <w:rsid w:val="00240880"/>
    <w:rsid w:val="002416DB"/>
    <w:rsid w:val="00244257"/>
    <w:rsid w:val="00244D9E"/>
    <w:rsid w:val="00247CB5"/>
    <w:rsid w:val="00247CDB"/>
    <w:rsid w:val="00247DA0"/>
    <w:rsid w:val="00251573"/>
    <w:rsid w:val="002536F5"/>
    <w:rsid w:val="00254A61"/>
    <w:rsid w:val="002558C1"/>
    <w:rsid w:val="00255B2B"/>
    <w:rsid w:val="00256148"/>
    <w:rsid w:val="00256833"/>
    <w:rsid w:val="00261A18"/>
    <w:rsid w:val="00261EAE"/>
    <w:rsid w:val="0026370F"/>
    <w:rsid w:val="00263EF9"/>
    <w:rsid w:val="00265521"/>
    <w:rsid w:val="00266E1A"/>
    <w:rsid w:val="00267F7E"/>
    <w:rsid w:val="002720D6"/>
    <w:rsid w:val="002735BB"/>
    <w:rsid w:val="002735BE"/>
    <w:rsid w:val="00273739"/>
    <w:rsid w:val="0027423E"/>
    <w:rsid w:val="00274634"/>
    <w:rsid w:val="00275F8B"/>
    <w:rsid w:val="00275FD8"/>
    <w:rsid w:val="00276239"/>
    <w:rsid w:val="00281B63"/>
    <w:rsid w:val="0028301C"/>
    <w:rsid w:val="0028483F"/>
    <w:rsid w:val="002861E7"/>
    <w:rsid w:val="002864E0"/>
    <w:rsid w:val="0028676B"/>
    <w:rsid w:val="00286ADB"/>
    <w:rsid w:val="002872AB"/>
    <w:rsid w:val="002876C3"/>
    <w:rsid w:val="00287F0A"/>
    <w:rsid w:val="0029059B"/>
    <w:rsid w:val="00291A7E"/>
    <w:rsid w:val="00291AAF"/>
    <w:rsid w:val="00292A42"/>
    <w:rsid w:val="00293828"/>
    <w:rsid w:val="00293F6C"/>
    <w:rsid w:val="00297D4B"/>
    <w:rsid w:val="002A04E2"/>
    <w:rsid w:val="002A2201"/>
    <w:rsid w:val="002A22E8"/>
    <w:rsid w:val="002A26C6"/>
    <w:rsid w:val="002A2EB5"/>
    <w:rsid w:val="002A37F0"/>
    <w:rsid w:val="002A3ED5"/>
    <w:rsid w:val="002A5002"/>
    <w:rsid w:val="002A78D1"/>
    <w:rsid w:val="002B5E44"/>
    <w:rsid w:val="002B6674"/>
    <w:rsid w:val="002B7EE2"/>
    <w:rsid w:val="002C0B91"/>
    <w:rsid w:val="002C1851"/>
    <w:rsid w:val="002C1C5E"/>
    <w:rsid w:val="002C1D7F"/>
    <w:rsid w:val="002C2D4C"/>
    <w:rsid w:val="002C4718"/>
    <w:rsid w:val="002C4823"/>
    <w:rsid w:val="002C5BC1"/>
    <w:rsid w:val="002C691E"/>
    <w:rsid w:val="002C76AC"/>
    <w:rsid w:val="002C7C55"/>
    <w:rsid w:val="002D166D"/>
    <w:rsid w:val="002D1B07"/>
    <w:rsid w:val="002D2E64"/>
    <w:rsid w:val="002D49AF"/>
    <w:rsid w:val="002D5C08"/>
    <w:rsid w:val="002D61EA"/>
    <w:rsid w:val="002D69C9"/>
    <w:rsid w:val="002D7F99"/>
    <w:rsid w:val="002E04DE"/>
    <w:rsid w:val="002E3841"/>
    <w:rsid w:val="002E3B82"/>
    <w:rsid w:val="002E4F6E"/>
    <w:rsid w:val="002E7B57"/>
    <w:rsid w:val="002F2123"/>
    <w:rsid w:val="002F24E6"/>
    <w:rsid w:val="002F35EB"/>
    <w:rsid w:val="002F6540"/>
    <w:rsid w:val="002F6CF9"/>
    <w:rsid w:val="002F706B"/>
    <w:rsid w:val="003011A5"/>
    <w:rsid w:val="003024D5"/>
    <w:rsid w:val="003029E1"/>
    <w:rsid w:val="003061B1"/>
    <w:rsid w:val="003065C3"/>
    <w:rsid w:val="00306B84"/>
    <w:rsid w:val="0030741D"/>
    <w:rsid w:val="00307654"/>
    <w:rsid w:val="00310404"/>
    <w:rsid w:val="0031076D"/>
    <w:rsid w:val="00317355"/>
    <w:rsid w:val="0031747B"/>
    <w:rsid w:val="00320FE6"/>
    <w:rsid w:val="003216F6"/>
    <w:rsid w:val="003220EA"/>
    <w:rsid w:val="003248B5"/>
    <w:rsid w:val="00325099"/>
    <w:rsid w:val="003256B7"/>
    <w:rsid w:val="00327690"/>
    <w:rsid w:val="003277CD"/>
    <w:rsid w:val="00331FD8"/>
    <w:rsid w:val="003326B4"/>
    <w:rsid w:val="00334A9F"/>
    <w:rsid w:val="00334D94"/>
    <w:rsid w:val="00337EEE"/>
    <w:rsid w:val="00340271"/>
    <w:rsid w:val="003405A6"/>
    <w:rsid w:val="00340AFA"/>
    <w:rsid w:val="00340D9F"/>
    <w:rsid w:val="00344135"/>
    <w:rsid w:val="00345C1C"/>
    <w:rsid w:val="00350433"/>
    <w:rsid w:val="0035044D"/>
    <w:rsid w:val="003519BD"/>
    <w:rsid w:val="00351AC6"/>
    <w:rsid w:val="003532FF"/>
    <w:rsid w:val="00354F61"/>
    <w:rsid w:val="00360903"/>
    <w:rsid w:val="00361BE8"/>
    <w:rsid w:val="003624F8"/>
    <w:rsid w:val="003627C1"/>
    <w:rsid w:val="00362879"/>
    <w:rsid w:val="00364A5F"/>
    <w:rsid w:val="00365BAF"/>
    <w:rsid w:val="003673CD"/>
    <w:rsid w:val="00370AC2"/>
    <w:rsid w:val="00370BFE"/>
    <w:rsid w:val="00371D5B"/>
    <w:rsid w:val="0037250C"/>
    <w:rsid w:val="003734E8"/>
    <w:rsid w:val="0037427F"/>
    <w:rsid w:val="00376A06"/>
    <w:rsid w:val="00381965"/>
    <w:rsid w:val="003827E6"/>
    <w:rsid w:val="00383444"/>
    <w:rsid w:val="00383B5E"/>
    <w:rsid w:val="00384B59"/>
    <w:rsid w:val="003855C6"/>
    <w:rsid w:val="00386146"/>
    <w:rsid w:val="003878E1"/>
    <w:rsid w:val="0039039D"/>
    <w:rsid w:val="00390CE8"/>
    <w:rsid w:val="00391839"/>
    <w:rsid w:val="003925ED"/>
    <w:rsid w:val="003925F5"/>
    <w:rsid w:val="00392C9F"/>
    <w:rsid w:val="00392F27"/>
    <w:rsid w:val="00393A8B"/>
    <w:rsid w:val="00394928"/>
    <w:rsid w:val="00396F5F"/>
    <w:rsid w:val="003A0BC2"/>
    <w:rsid w:val="003A1CBB"/>
    <w:rsid w:val="003A2389"/>
    <w:rsid w:val="003A2F74"/>
    <w:rsid w:val="003A3EDE"/>
    <w:rsid w:val="003A4422"/>
    <w:rsid w:val="003A5F8F"/>
    <w:rsid w:val="003A7DC0"/>
    <w:rsid w:val="003B111B"/>
    <w:rsid w:val="003B3B2B"/>
    <w:rsid w:val="003B6479"/>
    <w:rsid w:val="003B710F"/>
    <w:rsid w:val="003C03CE"/>
    <w:rsid w:val="003C2CAD"/>
    <w:rsid w:val="003C2FD0"/>
    <w:rsid w:val="003C4798"/>
    <w:rsid w:val="003C4D61"/>
    <w:rsid w:val="003C52FE"/>
    <w:rsid w:val="003C5861"/>
    <w:rsid w:val="003C77A4"/>
    <w:rsid w:val="003D0B16"/>
    <w:rsid w:val="003D12D8"/>
    <w:rsid w:val="003D2B96"/>
    <w:rsid w:val="003D4349"/>
    <w:rsid w:val="003D4790"/>
    <w:rsid w:val="003D5C3A"/>
    <w:rsid w:val="003D5E4F"/>
    <w:rsid w:val="003D5F0E"/>
    <w:rsid w:val="003D6BE6"/>
    <w:rsid w:val="003D7A21"/>
    <w:rsid w:val="003E0076"/>
    <w:rsid w:val="003E29A8"/>
    <w:rsid w:val="003E4A81"/>
    <w:rsid w:val="003E4F81"/>
    <w:rsid w:val="003E5044"/>
    <w:rsid w:val="003E73CA"/>
    <w:rsid w:val="003E7611"/>
    <w:rsid w:val="003F01D5"/>
    <w:rsid w:val="003F29BC"/>
    <w:rsid w:val="003F6A06"/>
    <w:rsid w:val="003F760A"/>
    <w:rsid w:val="003F7C98"/>
    <w:rsid w:val="004001EE"/>
    <w:rsid w:val="00400C34"/>
    <w:rsid w:val="004021AA"/>
    <w:rsid w:val="0041387E"/>
    <w:rsid w:val="00415790"/>
    <w:rsid w:val="00416174"/>
    <w:rsid w:val="0042173B"/>
    <w:rsid w:val="004230EC"/>
    <w:rsid w:val="004236C9"/>
    <w:rsid w:val="00423DA1"/>
    <w:rsid w:val="00424C3C"/>
    <w:rsid w:val="004252C7"/>
    <w:rsid w:val="00425EC8"/>
    <w:rsid w:val="0042603A"/>
    <w:rsid w:val="004270CA"/>
    <w:rsid w:val="00427641"/>
    <w:rsid w:val="00432EC1"/>
    <w:rsid w:val="00433D51"/>
    <w:rsid w:val="004355BD"/>
    <w:rsid w:val="004356C1"/>
    <w:rsid w:val="004361EE"/>
    <w:rsid w:val="00436268"/>
    <w:rsid w:val="00437521"/>
    <w:rsid w:val="004379E1"/>
    <w:rsid w:val="00440608"/>
    <w:rsid w:val="00440CE9"/>
    <w:rsid w:val="00441386"/>
    <w:rsid w:val="00442E1B"/>
    <w:rsid w:val="00443BEF"/>
    <w:rsid w:val="004445FA"/>
    <w:rsid w:val="00445087"/>
    <w:rsid w:val="004463F4"/>
    <w:rsid w:val="00446456"/>
    <w:rsid w:val="0044669E"/>
    <w:rsid w:val="00447CC0"/>
    <w:rsid w:val="00447FE1"/>
    <w:rsid w:val="00455B68"/>
    <w:rsid w:val="00457D95"/>
    <w:rsid w:val="00462741"/>
    <w:rsid w:val="00462AFE"/>
    <w:rsid w:val="00464C86"/>
    <w:rsid w:val="004650AE"/>
    <w:rsid w:val="00465811"/>
    <w:rsid w:val="0047016D"/>
    <w:rsid w:val="0047180E"/>
    <w:rsid w:val="004739E1"/>
    <w:rsid w:val="00473D93"/>
    <w:rsid w:val="00473DE0"/>
    <w:rsid w:val="00474D10"/>
    <w:rsid w:val="004758A9"/>
    <w:rsid w:val="00476B9E"/>
    <w:rsid w:val="00477AC0"/>
    <w:rsid w:val="00483F29"/>
    <w:rsid w:val="00484C60"/>
    <w:rsid w:val="0048547C"/>
    <w:rsid w:val="00485A1F"/>
    <w:rsid w:val="00485A5C"/>
    <w:rsid w:val="004869B5"/>
    <w:rsid w:val="00486CF9"/>
    <w:rsid w:val="004877FB"/>
    <w:rsid w:val="00490257"/>
    <w:rsid w:val="0049110B"/>
    <w:rsid w:val="00491B1D"/>
    <w:rsid w:val="00494107"/>
    <w:rsid w:val="0049541C"/>
    <w:rsid w:val="004961A8"/>
    <w:rsid w:val="00496768"/>
    <w:rsid w:val="00496B49"/>
    <w:rsid w:val="004A0845"/>
    <w:rsid w:val="004A0D87"/>
    <w:rsid w:val="004A0E66"/>
    <w:rsid w:val="004A0F11"/>
    <w:rsid w:val="004A23F5"/>
    <w:rsid w:val="004A2842"/>
    <w:rsid w:val="004A2FBC"/>
    <w:rsid w:val="004A3D26"/>
    <w:rsid w:val="004A3EEC"/>
    <w:rsid w:val="004A5C4A"/>
    <w:rsid w:val="004A66DE"/>
    <w:rsid w:val="004B1BB7"/>
    <w:rsid w:val="004B3D3C"/>
    <w:rsid w:val="004B4BC7"/>
    <w:rsid w:val="004B5BAF"/>
    <w:rsid w:val="004B6107"/>
    <w:rsid w:val="004B71DD"/>
    <w:rsid w:val="004C0599"/>
    <w:rsid w:val="004C0669"/>
    <w:rsid w:val="004C2247"/>
    <w:rsid w:val="004C499D"/>
    <w:rsid w:val="004C4ADE"/>
    <w:rsid w:val="004C52CB"/>
    <w:rsid w:val="004C5B28"/>
    <w:rsid w:val="004C5C77"/>
    <w:rsid w:val="004C770A"/>
    <w:rsid w:val="004D06C2"/>
    <w:rsid w:val="004D0B09"/>
    <w:rsid w:val="004D17F9"/>
    <w:rsid w:val="004D3897"/>
    <w:rsid w:val="004D5EE7"/>
    <w:rsid w:val="004E04D3"/>
    <w:rsid w:val="004E2B9D"/>
    <w:rsid w:val="004E3336"/>
    <w:rsid w:val="004E3612"/>
    <w:rsid w:val="004E5C4E"/>
    <w:rsid w:val="004E65BC"/>
    <w:rsid w:val="004E7876"/>
    <w:rsid w:val="004E7EEC"/>
    <w:rsid w:val="004F0044"/>
    <w:rsid w:val="004F26C3"/>
    <w:rsid w:val="004F2AE4"/>
    <w:rsid w:val="004F2B7C"/>
    <w:rsid w:val="004F6007"/>
    <w:rsid w:val="004F75FC"/>
    <w:rsid w:val="00500CC4"/>
    <w:rsid w:val="005014D7"/>
    <w:rsid w:val="00501A17"/>
    <w:rsid w:val="00503540"/>
    <w:rsid w:val="005035DE"/>
    <w:rsid w:val="00505140"/>
    <w:rsid w:val="00505249"/>
    <w:rsid w:val="00506087"/>
    <w:rsid w:val="00512A5B"/>
    <w:rsid w:val="005142E9"/>
    <w:rsid w:val="005147B6"/>
    <w:rsid w:val="005149C7"/>
    <w:rsid w:val="00515690"/>
    <w:rsid w:val="00516303"/>
    <w:rsid w:val="00520BC2"/>
    <w:rsid w:val="00521005"/>
    <w:rsid w:val="005215D0"/>
    <w:rsid w:val="00522308"/>
    <w:rsid w:val="005235D9"/>
    <w:rsid w:val="00523FE4"/>
    <w:rsid w:val="00525134"/>
    <w:rsid w:val="005273B1"/>
    <w:rsid w:val="005301B8"/>
    <w:rsid w:val="00530C30"/>
    <w:rsid w:val="0053223C"/>
    <w:rsid w:val="0053318D"/>
    <w:rsid w:val="00533896"/>
    <w:rsid w:val="0053571A"/>
    <w:rsid w:val="00535D3A"/>
    <w:rsid w:val="00536091"/>
    <w:rsid w:val="005376F1"/>
    <w:rsid w:val="0054222C"/>
    <w:rsid w:val="0054242B"/>
    <w:rsid w:val="00547973"/>
    <w:rsid w:val="00550994"/>
    <w:rsid w:val="00551467"/>
    <w:rsid w:val="00554368"/>
    <w:rsid w:val="00556DA2"/>
    <w:rsid w:val="00556DFC"/>
    <w:rsid w:val="00556F76"/>
    <w:rsid w:val="005622B5"/>
    <w:rsid w:val="005622E8"/>
    <w:rsid w:val="00562979"/>
    <w:rsid w:val="00563E27"/>
    <w:rsid w:val="005641B1"/>
    <w:rsid w:val="005647D4"/>
    <w:rsid w:val="00565F51"/>
    <w:rsid w:val="005664F1"/>
    <w:rsid w:val="00570C35"/>
    <w:rsid w:val="00574597"/>
    <w:rsid w:val="005760F9"/>
    <w:rsid w:val="0057657F"/>
    <w:rsid w:val="00577B40"/>
    <w:rsid w:val="00577BC4"/>
    <w:rsid w:val="00581DA2"/>
    <w:rsid w:val="0058455D"/>
    <w:rsid w:val="0058596C"/>
    <w:rsid w:val="00585DEC"/>
    <w:rsid w:val="00586651"/>
    <w:rsid w:val="00586B5C"/>
    <w:rsid w:val="005871F9"/>
    <w:rsid w:val="00590A7D"/>
    <w:rsid w:val="0059151F"/>
    <w:rsid w:val="00592623"/>
    <w:rsid w:val="00592D79"/>
    <w:rsid w:val="005955F4"/>
    <w:rsid w:val="00595A45"/>
    <w:rsid w:val="00596334"/>
    <w:rsid w:val="005974D3"/>
    <w:rsid w:val="005A198E"/>
    <w:rsid w:val="005A4099"/>
    <w:rsid w:val="005A44E7"/>
    <w:rsid w:val="005B0BDD"/>
    <w:rsid w:val="005B0E8C"/>
    <w:rsid w:val="005B2877"/>
    <w:rsid w:val="005B3348"/>
    <w:rsid w:val="005B482B"/>
    <w:rsid w:val="005B5CB0"/>
    <w:rsid w:val="005B7952"/>
    <w:rsid w:val="005C1B49"/>
    <w:rsid w:val="005C1D65"/>
    <w:rsid w:val="005C261F"/>
    <w:rsid w:val="005C2BB9"/>
    <w:rsid w:val="005C4750"/>
    <w:rsid w:val="005C59FB"/>
    <w:rsid w:val="005C69BC"/>
    <w:rsid w:val="005C6F35"/>
    <w:rsid w:val="005C76C8"/>
    <w:rsid w:val="005D014E"/>
    <w:rsid w:val="005D1780"/>
    <w:rsid w:val="005D1B1F"/>
    <w:rsid w:val="005D2DE0"/>
    <w:rsid w:val="005D41C6"/>
    <w:rsid w:val="005D46FC"/>
    <w:rsid w:val="005D75F6"/>
    <w:rsid w:val="005D7E88"/>
    <w:rsid w:val="005E053E"/>
    <w:rsid w:val="005E0827"/>
    <w:rsid w:val="005E1899"/>
    <w:rsid w:val="005E3132"/>
    <w:rsid w:val="005E4096"/>
    <w:rsid w:val="005E5F94"/>
    <w:rsid w:val="005E6CA1"/>
    <w:rsid w:val="005E6D9F"/>
    <w:rsid w:val="005E7A01"/>
    <w:rsid w:val="005E7E3C"/>
    <w:rsid w:val="005F090D"/>
    <w:rsid w:val="005F4A78"/>
    <w:rsid w:val="005F4BD0"/>
    <w:rsid w:val="005F5E6F"/>
    <w:rsid w:val="005F7FC2"/>
    <w:rsid w:val="00600084"/>
    <w:rsid w:val="00600517"/>
    <w:rsid w:val="006019EB"/>
    <w:rsid w:val="0060262B"/>
    <w:rsid w:val="00605B37"/>
    <w:rsid w:val="00606C94"/>
    <w:rsid w:val="00606F1D"/>
    <w:rsid w:val="006111D1"/>
    <w:rsid w:val="00611EDE"/>
    <w:rsid w:val="0061214D"/>
    <w:rsid w:val="006148AF"/>
    <w:rsid w:val="00614D68"/>
    <w:rsid w:val="00616416"/>
    <w:rsid w:val="006175EE"/>
    <w:rsid w:val="00617899"/>
    <w:rsid w:val="00617A03"/>
    <w:rsid w:val="00617C51"/>
    <w:rsid w:val="006215A6"/>
    <w:rsid w:val="00622639"/>
    <w:rsid w:val="006232DE"/>
    <w:rsid w:val="00624410"/>
    <w:rsid w:val="00624A1C"/>
    <w:rsid w:val="0062733A"/>
    <w:rsid w:val="00630243"/>
    <w:rsid w:val="006306D3"/>
    <w:rsid w:val="00630946"/>
    <w:rsid w:val="00630CB4"/>
    <w:rsid w:val="00631BD4"/>
    <w:rsid w:val="0063277E"/>
    <w:rsid w:val="00632BDF"/>
    <w:rsid w:val="00633DB1"/>
    <w:rsid w:val="006340E6"/>
    <w:rsid w:val="006342AA"/>
    <w:rsid w:val="00634E4E"/>
    <w:rsid w:val="006404C9"/>
    <w:rsid w:val="0064087D"/>
    <w:rsid w:val="00640B95"/>
    <w:rsid w:val="00640C6D"/>
    <w:rsid w:val="0064121B"/>
    <w:rsid w:val="0064248C"/>
    <w:rsid w:val="00642F1E"/>
    <w:rsid w:val="006464FF"/>
    <w:rsid w:val="006475CF"/>
    <w:rsid w:val="00647B3F"/>
    <w:rsid w:val="00650B04"/>
    <w:rsid w:val="00652F77"/>
    <w:rsid w:val="0065341E"/>
    <w:rsid w:val="00653692"/>
    <w:rsid w:val="006545E1"/>
    <w:rsid w:val="00654A16"/>
    <w:rsid w:val="00654E94"/>
    <w:rsid w:val="00655827"/>
    <w:rsid w:val="00655E08"/>
    <w:rsid w:val="00656350"/>
    <w:rsid w:val="006620E2"/>
    <w:rsid w:val="00662B33"/>
    <w:rsid w:val="00664D38"/>
    <w:rsid w:val="00665949"/>
    <w:rsid w:val="00665D32"/>
    <w:rsid w:val="00667C2E"/>
    <w:rsid w:val="0067187F"/>
    <w:rsid w:val="006727B5"/>
    <w:rsid w:val="0067433C"/>
    <w:rsid w:val="006753F2"/>
    <w:rsid w:val="006758A6"/>
    <w:rsid w:val="00675CA4"/>
    <w:rsid w:val="00675DE5"/>
    <w:rsid w:val="00675ED2"/>
    <w:rsid w:val="00676C00"/>
    <w:rsid w:val="006808BE"/>
    <w:rsid w:val="00681F66"/>
    <w:rsid w:val="00682A05"/>
    <w:rsid w:val="00683B4C"/>
    <w:rsid w:val="00684157"/>
    <w:rsid w:val="006848B5"/>
    <w:rsid w:val="00685751"/>
    <w:rsid w:val="00686D57"/>
    <w:rsid w:val="00687ACC"/>
    <w:rsid w:val="00691675"/>
    <w:rsid w:val="00692CA7"/>
    <w:rsid w:val="00692EC0"/>
    <w:rsid w:val="006948C8"/>
    <w:rsid w:val="006969AE"/>
    <w:rsid w:val="00696CB1"/>
    <w:rsid w:val="006972E8"/>
    <w:rsid w:val="00697AFE"/>
    <w:rsid w:val="006A11C3"/>
    <w:rsid w:val="006A23C8"/>
    <w:rsid w:val="006A23F9"/>
    <w:rsid w:val="006A455F"/>
    <w:rsid w:val="006A5DA2"/>
    <w:rsid w:val="006A643E"/>
    <w:rsid w:val="006A7D58"/>
    <w:rsid w:val="006B0DD3"/>
    <w:rsid w:val="006B232F"/>
    <w:rsid w:val="006B58F8"/>
    <w:rsid w:val="006B6564"/>
    <w:rsid w:val="006B71E9"/>
    <w:rsid w:val="006C027D"/>
    <w:rsid w:val="006C342E"/>
    <w:rsid w:val="006C37B6"/>
    <w:rsid w:val="006C4F97"/>
    <w:rsid w:val="006C5228"/>
    <w:rsid w:val="006C5670"/>
    <w:rsid w:val="006C6658"/>
    <w:rsid w:val="006C6939"/>
    <w:rsid w:val="006D0C63"/>
    <w:rsid w:val="006D631B"/>
    <w:rsid w:val="006D6D08"/>
    <w:rsid w:val="006D6F79"/>
    <w:rsid w:val="006D708F"/>
    <w:rsid w:val="006D7D7A"/>
    <w:rsid w:val="006E2C31"/>
    <w:rsid w:val="006E3746"/>
    <w:rsid w:val="006E3CE6"/>
    <w:rsid w:val="006E4166"/>
    <w:rsid w:val="006E51B0"/>
    <w:rsid w:val="006E54D6"/>
    <w:rsid w:val="006F10C2"/>
    <w:rsid w:val="006F15B8"/>
    <w:rsid w:val="006F3556"/>
    <w:rsid w:val="006F41B5"/>
    <w:rsid w:val="006F4AA2"/>
    <w:rsid w:val="006F5564"/>
    <w:rsid w:val="006F62CA"/>
    <w:rsid w:val="00701A7C"/>
    <w:rsid w:val="007026CF"/>
    <w:rsid w:val="00702E56"/>
    <w:rsid w:val="00703319"/>
    <w:rsid w:val="00703652"/>
    <w:rsid w:val="007066EA"/>
    <w:rsid w:val="00707754"/>
    <w:rsid w:val="00710535"/>
    <w:rsid w:val="00711599"/>
    <w:rsid w:val="007117B9"/>
    <w:rsid w:val="00711967"/>
    <w:rsid w:val="00712752"/>
    <w:rsid w:val="00714727"/>
    <w:rsid w:val="00715B04"/>
    <w:rsid w:val="007163EE"/>
    <w:rsid w:val="00716EAA"/>
    <w:rsid w:val="00716EC4"/>
    <w:rsid w:val="00720632"/>
    <w:rsid w:val="00721508"/>
    <w:rsid w:val="00727B49"/>
    <w:rsid w:val="00732365"/>
    <w:rsid w:val="007337CD"/>
    <w:rsid w:val="007339A3"/>
    <w:rsid w:val="00736362"/>
    <w:rsid w:val="0074007A"/>
    <w:rsid w:val="007413A1"/>
    <w:rsid w:val="00742489"/>
    <w:rsid w:val="007430C6"/>
    <w:rsid w:val="00743703"/>
    <w:rsid w:val="007462B8"/>
    <w:rsid w:val="00750D05"/>
    <w:rsid w:val="00751BD7"/>
    <w:rsid w:val="00752F8B"/>
    <w:rsid w:val="0075343E"/>
    <w:rsid w:val="00756027"/>
    <w:rsid w:val="007570B0"/>
    <w:rsid w:val="00757792"/>
    <w:rsid w:val="00760130"/>
    <w:rsid w:val="0076242A"/>
    <w:rsid w:val="00763039"/>
    <w:rsid w:val="00763966"/>
    <w:rsid w:val="007658FB"/>
    <w:rsid w:val="0076721E"/>
    <w:rsid w:val="0076759B"/>
    <w:rsid w:val="00767F2B"/>
    <w:rsid w:val="00770379"/>
    <w:rsid w:val="007705F5"/>
    <w:rsid w:val="00770A1A"/>
    <w:rsid w:val="00772F71"/>
    <w:rsid w:val="00774EBA"/>
    <w:rsid w:val="00775369"/>
    <w:rsid w:val="00775E3F"/>
    <w:rsid w:val="0077724C"/>
    <w:rsid w:val="00781993"/>
    <w:rsid w:val="00782D19"/>
    <w:rsid w:val="00787DC4"/>
    <w:rsid w:val="00791FE3"/>
    <w:rsid w:val="007923EB"/>
    <w:rsid w:val="00793BC6"/>
    <w:rsid w:val="00793FF3"/>
    <w:rsid w:val="007962C4"/>
    <w:rsid w:val="00796310"/>
    <w:rsid w:val="007963C4"/>
    <w:rsid w:val="00796904"/>
    <w:rsid w:val="00796BB1"/>
    <w:rsid w:val="00797195"/>
    <w:rsid w:val="00797F56"/>
    <w:rsid w:val="007A008C"/>
    <w:rsid w:val="007A0B96"/>
    <w:rsid w:val="007A0BC1"/>
    <w:rsid w:val="007A37CB"/>
    <w:rsid w:val="007A50F1"/>
    <w:rsid w:val="007A5810"/>
    <w:rsid w:val="007A7431"/>
    <w:rsid w:val="007B007A"/>
    <w:rsid w:val="007B0794"/>
    <w:rsid w:val="007B16AC"/>
    <w:rsid w:val="007B2106"/>
    <w:rsid w:val="007B649B"/>
    <w:rsid w:val="007C0E48"/>
    <w:rsid w:val="007C28EF"/>
    <w:rsid w:val="007C324D"/>
    <w:rsid w:val="007C335C"/>
    <w:rsid w:val="007C40F7"/>
    <w:rsid w:val="007C675C"/>
    <w:rsid w:val="007C6E67"/>
    <w:rsid w:val="007C6FEB"/>
    <w:rsid w:val="007C7268"/>
    <w:rsid w:val="007D20BB"/>
    <w:rsid w:val="007D728D"/>
    <w:rsid w:val="007E0460"/>
    <w:rsid w:val="007E0675"/>
    <w:rsid w:val="007E0947"/>
    <w:rsid w:val="007E3959"/>
    <w:rsid w:val="007E397F"/>
    <w:rsid w:val="007E57A0"/>
    <w:rsid w:val="007E64C4"/>
    <w:rsid w:val="007E7548"/>
    <w:rsid w:val="007E7A33"/>
    <w:rsid w:val="007F315E"/>
    <w:rsid w:val="007F34ED"/>
    <w:rsid w:val="007F5C46"/>
    <w:rsid w:val="00800112"/>
    <w:rsid w:val="00800966"/>
    <w:rsid w:val="00801283"/>
    <w:rsid w:val="00801761"/>
    <w:rsid w:val="00801D14"/>
    <w:rsid w:val="00802801"/>
    <w:rsid w:val="00802B01"/>
    <w:rsid w:val="00803FB7"/>
    <w:rsid w:val="008040EA"/>
    <w:rsid w:val="0080516A"/>
    <w:rsid w:val="00805C0E"/>
    <w:rsid w:val="00806FAE"/>
    <w:rsid w:val="00813095"/>
    <w:rsid w:val="00817D9E"/>
    <w:rsid w:val="00820A96"/>
    <w:rsid w:val="0082466D"/>
    <w:rsid w:val="008248C0"/>
    <w:rsid w:val="0082664D"/>
    <w:rsid w:val="008267F4"/>
    <w:rsid w:val="008276C4"/>
    <w:rsid w:val="008313A8"/>
    <w:rsid w:val="00832109"/>
    <w:rsid w:val="00833675"/>
    <w:rsid w:val="008336D3"/>
    <w:rsid w:val="00833EB9"/>
    <w:rsid w:val="00836A40"/>
    <w:rsid w:val="00841D39"/>
    <w:rsid w:val="00843EB9"/>
    <w:rsid w:val="00844290"/>
    <w:rsid w:val="00844D47"/>
    <w:rsid w:val="008451F4"/>
    <w:rsid w:val="008452A5"/>
    <w:rsid w:val="00850057"/>
    <w:rsid w:val="008507FD"/>
    <w:rsid w:val="008512A4"/>
    <w:rsid w:val="00852A13"/>
    <w:rsid w:val="00853DA6"/>
    <w:rsid w:val="00855ED2"/>
    <w:rsid w:val="00860FF5"/>
    <w:rsid w:val="008623A8"/>
    <w:rsid w:val="008644D5"/>
    <w:rsid w:val="00864791"/>
    <w:rsid w:val="008653E9"/>
    <w:rsid w:val="00865F83"/>
    <w:rsid w:val="0086660A"/>
    <w:rsid w:val="00867354"/>
    <w:rsid w:val="008707E4"/>
    <w:rsid w:val="00870BDB"/>
    <w:rsid w:val="00871E10"/>
    <w:rsid w:val="008730E1"/>
    <w:rsid w:val="00873BCA"/>
    <w:rsid w:val="00874679"/>
    <w:rsid w:val="00875C82"/>
    <w:rsid w:val="0087677F"/>
    <w:rsid w:val="00876C33"/>
    <w:rsid w:val="008809B8"/>
    <w:rsid w:val="00880BBA"/>
    <w:rsid w:val="00885CFB"/>
    <w:rsid w:val="00885DD1"/>
    <w:rsid w:val="0088697B"/>
    <w:rsid w:val="008874CE"/>
    <w:rsid w:val="008919F4"/>
    <w:rsid w:val="008921D5"/>
    <w:rsid w:val="00893D2F"/>
    <w:rsid w:val="00894532"/>
    <w:rsid w:val="00895FA3"/>
    <w:rsid w:val="008962B7"/>
    <w:rsid w:val="00896C8F"/>
    <w:rsid w:val="00897654"/>
    <w:rsid w:val="008977AC"/>
    <w:rsid w:val="008A11FF"/>
    <w:rsid w:val="008A151F"/>
    <w:rsid w:val="008A1704"/>
    <w:rsid w:val="008A7D25"/>
    <w:rsid w:val="008A7E53"/>
    <w:rsid w:val="008B045E"/>
    <w:rsid w:val="008B1096"/>
    <w:rsid w:val="008B13B9"/>
    <w:rsid w:val="008B13E6"/>
    <w:rsid w:val="008B3411"/>
    <w:rsid w:val="008B3DB7"/>
    <w:rsid w:val="008B4BA6"/>
    <w:rsid w:val="008B5A86"/>
    <w:rsid w:val="008B5B81"/>
    <w:rsid w:val="008B5E53"/>
    <w:rsid w:val="008B6AF3"/>
    <w:rsid w:val="008B6B1C"/>
    <w:rsid w:val="008B6EE9"/>
    <w:rsid w:val="008B7739"/>
    <w:rsid w:val="008C00C5"/>
    <w:rsid w:val="008C0CEA"/>
    <w:rsid w:val="008C1089"/>
    <w:rsid w:val="008C22B1"/>
    <w:rsid w:val="008C27F4"/>
    <w:rsid w:val="008C37D6"/>
    <w:rsid w:val="008C41EB"/>
    <w:rsid w:val="008C66C5"/>
    <w:rsid w:val="008D00C6"/>
    <w:rsid w:val="008D0336"/>
    <w:rsid w:val="008D1DE3"/>
    <w:rsid w:val="008D62E0"/>
    <w:rsid w:val="008E1ED6"/>
    <w:rsid w:val="008E243C"/>
    <w:rsid w:val="008E2DA7"/>
    <w:rsid w:val="008E6100"/>
    <w:rsid w:val="008F118F"/>
    <w:rsid w:val="008F1D0A"/>
    <w:rsid w:val="008F3C86"/>
    <w:rsid w:val="008F4043"/>
    <w:rsid w:val="008F5762"/>
    <w:rsid w:val="008F68C3"/>
    <w:rsid w:val="00900868"/>
    <w:rsid w:val="00900999"/>
    <w:rsid w:val="00901FBC"/>
    <w:rsid w:val="00901FD2"/>
    <w:rsid w:val="00902969"/>
    <w:rsid w:val="009035A0"/>
    <w:rsid w:val="00905E8B"/>
    <w:rsid w:val="00906EC9"/>
    <w:rsid w:val="00910B3D"/>
    <w:rsid w:val="009114B0"/>
    <w:rsid w:val="0091187C"/>
    <w:rsid w:val="0091313F"/>
    <w:rsid w:val="00913D4E"/>
    <w:rsid w:val="009140AA"/>
    <w:rsid w:val="0091467A"/>
    <w:rsid w:val="00914783"/>
    <w:rsid w:val="00917869"/>
    <w:rsid w:val="00917B76"/>
    <w:rsid w:val="00921D53"/>
    <w:rsid w:val="00921EB4"/>
    <w:rsid w:val="00922A3A"/>
    <w:rsid w:val="009244E9"/>
    <w:rsid w:val="00924810"/>
    <w:rsid w:val="00924C84"/>
    <w:rsid w:val="0092547D"/>
    <w:rsid w:val="009269D1"/>
    <w:rsid w:val="0092742F"/>
    <w:rsid w:val="009279B5"/>
    <w:rsid w:val="00930D2F"/>
    <w:rsid w:val="00933302"/>
    <w:rsid w:val="00935045"/>
    <w:rsid w:val="00935AB2"/>
    <w:rsid w:val="00935E8C"/>
    <w:rsid w:val="00937BE6"/>
    <w:rsid w:val="00943943"/>
    <w:rsid w:val="00945189"/>
    <w:rsid w:val="00945C2E"/>
    <w:rsid w:val="00946608"/>
    <w:rsid w:val="00946F05"/>
    <w:rsid w:val="00951281"/>
    <w:rsid w:val="0095208E"/>
    <w:rsid w:val="0095209C"/>
    <w:rsid w:val="00952297"/>
    <w:rsid w:val="009544C5"/>
    <w:rsid w:val="00954F89"/>
    <w:rsid w:val="00955038"/>
    <w:rsid w:val="00955435"/>
    <w:rsid w:val="009578DB"/>
    <w:rsid w:val="00957E28"/>
    <w:rsid w:val="00960055"/>
    <w:rsid w:val="00961F8C"/>
    <w:rsid w:val="00961FAD"/>
    <w:rsid w:val="00962C9E"/>
    <w:rsid w:val="009639AC"/>
    <w:rsid w:val="0096519A"/>
    <w:rsid w:val="009728E5"/>
    <w:rsid w:val="0097303C"/>
    <w:rsid w:val="009731D4"/>
    <w:rsid w:val="00975B9F"/>
    <w:rsid w:val="009765FF"/>
    <w:rsid w:val="00981189"/>
    <w:rsid w:val="00981BEC"/>
    <w:rsid w:val="00982ABB"/>
    <w:rsid w:val="00984EAB"/>
    <w:rsid w:val="00986A33"/>
    <w:rsid w:val="00987A5D"/>
    <w:rsid w:val="009919EA"/>
    <w:rsid w:val="00991B91"/>
    <w:rsid w:val="00991E4B"/>
    <w:rsid w:val="00995AE4"/>
    <w:rsid w:val="009961A9"/>
    <w:rsid w:val="009A03A3"/>
    <w:rsid w:val="009A0892"/>
    <w:rsid w:val="009A0F01"/>
    <w:rsid w:val="009A436A"/>
    <w:rsid w:val="009A5D29"/>
    <w:rsid w:val="009A6E08"/>
    <w:rsid w:val="009A7100"/>
    <w:rsid w:val="009B05A1"/>
    <w:rsid w:val="009B093F"/>
    <w:rsid w:val="009B0B0D"/>
    <w:rsid w:val="009B2465"/>
    <w:rsid w:val="009B3F05"/>
    <w:rsid w:val="009B43ED"/>
    <w:rsid w:val="009B4BA9"/>
    <w:rsid w:val="009B56EB"/>
    <w:rsid w:val="009B66B3"/>
    <w:rsid w:val="009B7419"/>
    <w:rsid w:val="009C05F7"/>
    <w:rsid w:val="009C0F47"/>
    <w:rsid w:val="009C13D4"/>
    <w:rsid w:val="009C1A2B"/>
    <w:rsid w:val="009C1CD3"/>
    <w:rsid w:val="009C323F"/>
    <w:rsid w:val="009C6953"/>
    <w:rsid w:val="009C69E3"/>
    <w:rsid w:val="009C722A"/>
    <w:rsid w:val="009C7C04"/>
    <w:rsid w:val="009D0174"/>
    <w:rsid w:val="009D0265"/>
    <w:rsid w:val="009D03DF"/>
    <w:rsid w:val="009D0D7C"/>
    <w:rsid w:val="009D10D0"/>
    <w:rsid w:val="009D1C52"/>
    <w:rsid w:val="009D5179"/>
    <w:rsid w:val="009D59B8"/>
    <w:rsid w:val="009D7E47"/>
    <w:rsid w:val="009E03F5"/>
    <w:rsid w:val="009E1FC1"/>
    <w:rsid w:val="009E3272"/>
    <w:rsid w:val="009E4376"/>
    <w:rsid w:val="009E48F6"/>
    <w:rsid w:val="009E4A31"/>
    <w:rsid w:val="009E5831"/>
    <w:rsid w:val="009E782C"/>
    <w:rsid w:val="009F0DFB"/>
    <w:rsid w:val="009F2616"/>
    <w:rsid w:val="009F291D"/>
    <w:rsid w:val="009F7A55"/>
    <w:rsid w:val="00A00423"/>
    <w:rsid w:val="00A03B61"/>
    <w:rsid w:val="00A03C77"/>
    <w:rsid w:val="00A05AE4"/>
    <w:rsid w:val="00A06DA1"/>
    <w:rsid w:val="00A0707B"/>
    <w:rsid w:val="00A070E0"/>
    <w:rsid w:val="00A07EE7"/>
    <w:rsid w:val="00A11B75"/>
    <w:rsid w:val="00A11C66"/>
    <w:rsid w:val="00A1354F"/>
    <w:rsid w:val="00A141FC"/>
    <w:rsid w:val="00A1583C"/>
    <w:rsid w:val="00A200B7"/>
    <w:rsid w:val="00A2109E"/>
    <w:rsid w:val="00A21ED7"/>
    <w:rsid w:val="00A22079"/>
    <w:rsid w:val="00A25BD1"/>
    <w:rsid w:val="00A26299"/>
    <w:rsid w:val="00A271A7"/>
    <w:rsid w:val="00A27FA5"/>
    <w:rsid w:val="00A310B8"/>
    <w:rsid w:val="00A31DCA"/>
    <w:rsid w:val="00A3317F"/>
    <w:rsid w:val="00A34DC8"/>
    <w:rsid w:val="00A355F0"/>
    <w:rsid w:val="00A36623"/>
    <w:rsid w:val="00A3674E"/>
    <w:rsid w:val="00A41352"/>
    <w:rsid w:val="00A417C8"/>
    <w:rsid w:val="00A41D79"/>
    <w:rsid w:val="00A42B39"/>
    <w:rsid w:val="00A4537A"/>
    <w:rsid w:val="00A463BC"/>
    <w:rsid w:val="00A47342"/>
    <w:rsid w:val="00A5097A"/>
    <w:rsid w:val="00A50D8A"/>
    <w:rsid w:val="00A5485C"/>
    <w:rsid w:val="00A56E07"/>
    <w:rsid w:val="00A6146B"/>
    <w:rsid w:val="00A63A9B"/>
    <w:rsid w:val="00A717DC"/>
    <w:rsid w:val="00A727D2"/>
    <w:rsid w:val="00A73D5C"/>
    <w:rsid w:val="00A74469"/>
    <w:rsid w:val="00A75125"/>
    <w:rsid w:val="00A7567B"/>
    <w:rsid w:val="00A80CB5"/>
    <w:rsid w:val="00A81113"/>
    <w:rsid w:val="00A81D9B"/>
    <w:rsid w:val="00A83D72"/>
    <w:rsid w:val="00A8470B"/>
    <w:rsid w:val="00A86190"/>
    <w:rsid w:val="00A872F1"/>
    <w:rsid w:val="00A8754C"/>
    <w:rsid w:val="00A87F01"/>
    <w:rsid w:val="00A90883"/>
    <w:rsid w:val="00A9227D"/>
    <w:rsid w:val="00A9307C"/>
    <w:rsid w:val="00A937D6"/>
    <w:rsid w:val="00A95D39"/>
    <w:rsid w:val="00A96609"/>
    <w:rsid w:val="00A96795"/>
    <w:rsid w:val="00A97B96"/>
    <w:rsid w:val="00AA0C6B"/>
    <w:rsid w:val="00AA120E"/>
    <w:rsid w:val="00AA14AA"/>
    <w:rsid w:val="00AA1FE1"/>
    <w:rsid w:val="00AA2732"/>
    <w:rsid w:val="00AA5092"/>
    <w:rsid w:val="00AA59AE"/>
    <w:rsid w:val="00AA5E2F"/>
    <w:rsid w:val="00AA60B5"/>
    <w:rsid w:val="00AA65B2"/>
    <w:rsid w:val="00AA7120"/>
    <w:rsid w:val="00AB1DD6"/>
    <w:rsid w:val="00AB1F35"/>
    <w:rsid w:val="00AB2E8E"/>
    <w:rsid w:val="00AB4BF2"/>
    <w:rsid w:val="00AB5C75"/>
    <w:rsid w:val="00AB5F22"/>
    <w:rsid w:val="00AB7AAD"/>
    <w:rsid w:val="00AC1CE2"/>
    <w:rsid w:val="00AC20E3"/>
    <w:rsid w:val="00AC27EF"/>
    <w:rsid w:val="00AC43C1"/>
    <w:rsid w:val="00AC7E8B"/>
    <w:rsid w:val="00AD366B"/>
    <w:rsid w:val="00AD3CC3"/>
    <w:rsid w:val="00AD68F7"/>
    <w:rsid w:val="00AD6AA5"/>
    <w:rsid w:val="00AD782F"/>
    <w:rsid w:val="00AE1F4A"/>
    <w:rsid w:val="00AE228D"/>
    <w:rsid w:val="00AE4FCE"/>
    <w:rsid w:val="00AF1E5D"/>
    <w:rsid w:val="00AF1F08"/>
    <w:rsid w:val="00AF3421"/>
    <w:rsid w:val="00AF4EB6"/>
    <w:rsid w:val="00AF6720"/>
    <w:rsid w:val="00AF77B0"/>
    <w:rsid w:val="00B00869"/>
    <w:rsid w:val="00B01D64"/>
    <w:rsid w:val="00B0283F"/>
    <w:rsid w:val="00B11222"/>
    <w:rsid w:val="00B11A4F"/>
    <w:rsid w:val="00B1340B"/>
    <w:rsid w:val="00B14351"/>
    <w:rsid w:val="00B15E02"/>
    <w:rsid w:val="00B176AE"/>
    <w:rsid w:val="00B17862"/>
    <w:rsid w:val="00B20022"/>
    <w:rsid w:val="00B226E4"/>
    <w:rsid w:val="00B235D2"/>
    <w:rsid w:val="00B24C9E"/>
    <w:rsid w:val="00B24CAC"/>
    <w:rsid w:val="00B2530B"/>
    <w:rsid w:val="00B25BF7"/>
    <w:rsid w:val="00B275E0"/>
    <w:rsid w:val="00B3149F"/>
    <w:rsid w:val="00B31B80"/>
    <w:rsid w:val="00B32DE8"/>
    <w:rsid w:val="00B3358D"/>
    <w:rsid w:val="00B34931"/>
    <w:rsid w:val="00B35551"/>
    <w:rsid w:val="00B360DB"/>
    <w:rsid w:val="00B361E9"/>
    <w:rsid w:val="00B36ED9"/>
    <w:rsid w:val="00B4056B"/>
    <w:rsid w:val="00B42227"/>
    <w:rsid w:val="00B43C9D"/>
    <w:rsid w:val="00B447EF"/>
    <w:rsid w:val="00B44929"/>
    <w:rsid w:val="00B44DB3"/>
    <w:rsid w:val="00B45187"/>
    <w:rsid w:val="00B463BA"/>
    <w:rsid w:val="00B468B6"/>
    <w:rsid w:val="00B46E9B"/>
    <w:rsid w:val="00B50388"/>
    <w:rsid w:val="00B51918"/>
    <w:rsid w:val="00B51962"/>
    <w:rsid w:val="00B54549"/>
    <w:rsid w:val="00B54EBC"/>
    <w:rsid w:val="00B5631B"/>
    <w:rsid w:val="00B60162"/>
    <w:rsid w:val="00B60172"/>
    <w:rsid w:val="00B6142F"/>
    <w:rsid w:val="00B615A9"/>
    <w:rsid w:val="00B6415B"/>
    <w:rsid w:val="00B66289"/>
    <w:rsid w:val="00B6759F"/>
    <w:rsid w:val="00B6775C"/>
    <w:rsid w:val="00B67FE8"/>
    <w:rsid w:val="00B708CF"/>
    <w:rsid w:val="00B7358C"/>
    <w:rsid w:val="00B73895"/>
    <w:rsid w:val="00B74621"/>
    <w:rsid w:val="00B754D2"/>
    <w:rsid w:val="00B76B2E"/>
    <w:rsid w:val="00B76E78"/>
    <w:rsid w:val="00B811C7"/>
    <w:rsid w:val="00B829FB"/>
    <w:rsid w:val="00B82E17"/>
    <w:rsid w:val="00B82F21"/>
    <w:rsid w:val="00B8382B"/>
    <w:rsid w:val="00B83B53"/>
    <w:rsid w:val="00B86863"/>
    <w:rsid w:val="00B86928"/>
    <w:rsid w:val="00B87957"/>
    <w:rsid w:val="00B91C4E"/>
    <w:rsid w:val="00B9283A"/>
    <w:rsid w:val="00B95A32"/>
    <w:rsid w:val="00B962ED"/>
    <w:rsid w:val="00B96E2D"/>
    <w:rsid w:val="00B97475"/>
    <w:rsid w:val="00B9769F"/>
    <w:rsid w:val="00B97D19"/>
    <w:rsid w:val="00BA2D26"/>
    <w:rsid w:val="00BA3946"/>
    <w:rsid w:val="00BA3ACC"/>
    <w:rsid w:val="00BA4A2B"/>
    <w:rsid w:val="00BA54EB"/>
    <w:rsid w:val="00BA6C13"/>
    <w:rsid w:val="00BA6C51"/>
    <w:rsid w:val="00BA720D"/>
    <w:rsid w:val="00BB18BF"/>
    <w:rsid w:val="00BB2EE0"/>
    <w:rsid w:val="00BB3140"/>
    <w:rsid w:val="00BB3472"/>
    <w:rsid w:val="00BB75EE"/>
    <w:rsid w:val="00BB7C1B"/>
    <w:rsid w:val="00BC1741"/>
    <w:rsid w:val="00BC2414"/>
    <w:rsid w:val="00BC3CCC"/>
    <w:rsid w:val="00BD1F65"/>
    <w:rsid w:val="00BD2591"/>
    <w:rsid w:val="00BD285B"/>
    <w:rsid w:val="00BD2A50"/>
    <w:rsid w:val="00BD2C29"/>
    <w:rsid w:val="00BD378F"/>
    <w:rsid w:val="00BD5A2C"/>
    <w:rsid w:val="00BD5A4E"/>
    <w:rsid w:val="00BD6F72"/>
    <w:rsid w:val="00BE0795"/>
    <w:rsid w:val="00BE26B1"/>
    <w:rsid w:val="00BE495E"/>
    <w:rsid w:val="00BE790B"/>
    <w:rsid w:val="00BF2F07"/>
    <w:rsid w:val="00BF3E2B"/>
    <w:rsid w:val="00BF6372"/>
    <w:rsid w:val="00C00A85"/>
    <w:rsid w:val="00C00FCF"/>
    <w:rsid w:val="00C01AF5"/>
    <w:rsid w:val="00C03469"/>
    <w:rsid w:val="00C04B35"/>
    <w:rsid w:val="00C052AF"/>
    <w:rsid w:val="00C10DFA"/>
    <w:rsid w:val="00C14FD0"/>
    <w:rsid w:val="00C23302"/>
    <w:rsid w:val="00C2465F"/>
    <w:rsid w:val="00C246CA"/>
    <w:rsid w:val="00C2623D"/>
    <w:rsid w:val="00C30153"/>
    <w:rsid w:val="00C30490"/>
    <w:rsid w:val="00C321FE"/>
    <w:rsid w:val="00C33CCD"/>
    <w:rsid w:val="00C35743"/>
    <w:rsid w:val="00C363C9"/>
    <w:rsid w:val="00C363E8"/>
    <w:rsid w:val="00C36F8E"/>
    <w:rsid w:val="00C3759D"/>
    <w:rsid w:val="00C37C23"/>
    <w:rsid w:val="00C40A82"/>
    <w:rsid w:val="00C414D1"/>
    <w:rsid w:val="00C42412"/>
    <w:rsid w:val="00C44E91"/>
    <w:rsid w:val="00C45211"/>
    <w:rsid w:val="00C453DA"/>
    <w:rsid w:val="00C475F4"/>
    <w:rsid w:val="00C53688"/>
    <w:rsid w:val="00C55D62"/>
    <w:rsid w:val="00C577D5"/>
    <w:rsid w:val="00C61B1F"/>
    <w:rsid w:val="00C61ECC"/>
    <w:rsid w:val="00C63636"/>
    <w:rsid w:val="00C668B6"/>
    <w:rsid w:val="00C73315"/>
    <w:rsid w:val="00C74DE1"/>
    <w:rsid w:val="00C75406"/>
    <w:rsid w:val="00C754A5"/>
    <w:rsid w:val="00C760C7"/>
    <w:rsid w:val="00C764AD"/>
    <w:rsid w:val="00C80E53"/>
    <w:rsid w:val="00C81D09"/>
    <w:rsid w:val="00C85DB8"/>
    <w:rsid w:val="00C86795"/>
    <w:rsid w:val="00C8739D"/>
    <w:rsid w:val="00C912A5"/>
    <w:rsid w:val="00C91871"/>
    <w:rsid w:val="00C92106"/>
    <w:rsid w:val="00C944C2"/>
    <w:rsid w:val="00C95046"/>
    <w:rsid w:val="00CA04BE"/>
    <w:rsid w:val="00CA0D2C"/>
    <w:rsid w:val="00CB150E"/>
    <w:rsid w:val="00CB399B"/>
    <w:rsid w:val="00CB46F8"/>
    <w:rsid w:val="00CB6676"/>
    <w:rsid w:val="00CB7935"/>
    <w:rsid w:val="00CB7BB5"/>
    <w:rsid w:val="00CC05D7"/>
    <w:rsid w:val="00CC1107"/>
    <w:rsid w:val="00CC2958"/>
    <w:rsid w:val="00CC2FEA"/>
    <w:rsid w:val="00CC45AA"/>
    <w:rsid w:val="00CC490F"/>
    <w:rsid w:val="00CC6E48"/>
    <w:rsid w:val="00CD0A2C"/>
    <w:rsid w:val="00CD2424"/>
    <w:rsid w:val="00CD3219"/>
    <w:rsid w:val="00CD4642"/>
    <w:rsid w:val="00CD76C3"/>
    <w:rsid w:val="00CE1875"/>
    <w:rsid w:val="00CE5EBC"/>
    <w:rsid w:val="00CE6676"/>
    <w:rsid w:val="00CE6D6E"/>
    <w:rsid w:val="00CF0075"/>
    <w:rsid w:val="00CF11BF"/>
    <w:rsid w:val="00CF22AA"/>
    <w:rsid w:val="00CF3721"/>
    <w:rsid w:val="00CF3BC7"/>
    <w:rsid w:val="00CF46D9"/>
    <w:rsid w:val="00CF514E"/>
    <w:rsid w:val="00CF61A4"/>
    <w:rsid w:val="00D00BF3"/>
    <w:rsid w:val="00D00D4E"/>
    <w:rsid w:val="00D03D81"/>
    <w:rsid w:val="00D03F93"/>
    <w:rsid w:val="00D055D3"/>
    <w:rsid w:val="00D06829"/>
    <w:rsid w:val="00D1236E"/>
    <w:rsid w:val="00D132FD"/>
    <w:rsid w:val="00D13347"/>
    <w:rsid w:val="00D134B7"/>
    <w:rsid w:val="00D13A62"/>
    <w:rsid w:val="00D1466A"/>
    <w:rsid w:val="00D146DA"/>
    <w:rsid w:val="00D15324"/>
    <w:rsid w:val="00D15A46"/>
    <w:rsid w:val="00D16C47"/>
    <w:rsid w:val="00D20507"/>
    <w:rsid w:val="00D221D8"/>
    <w:rsid w:val="00D2268D"/>
    <w:rsid w:val="00D23B00"/>
    <w:rsid w:val="00D24ACD"/>
    <w:rsid w:val="00D25206"/>
    <w:rsid w:val="00D262BA"/>
    <w:rsid w:val="00D30FEC"/>
    <w:rsid w:val="00D31D66"/>
    <w:rsid w:val="00D323CF"/>
    <w:rsid w:val="00D3331C"/>
    <w:rsid w:val="00D3571B"/>
    <w:rsid w:val="00D36918"/>
    <w:rsid w:val="00D37836"/>
    <w:rsid w:val="00D40CFC"/>
    <w:rsid w:val="00D416A3"/>
    <w:rsid w:val="00D42076"/>
    <w:rsid w:val="00D425AC"/>
    <w:rsid w:val="00D44A9D"/>
    <w:rsid w:val="00D470E2"/>
    <w:rsid w:val="00D47387"/>
    <w:rsid w:val="00D50464"/>
    <w:rsid w:val="00D52347"/>
    <w:rsid w:val="00D54331"/>
    <w:rsid w:val="00D566C5"/>
    <w:rsid w:val="00D61523"/>
    <w:rsid w:val="00D661D8"/>
    <w:rsid w:val="00D67EB6"/>
    <w:rsid w:val="00D71B7B"/>
    <w:rsid w:val="00D72C5E"/>
    <w:rsid w:val="00D7397B"/>
    <w:rsid w:val="00D75DA9"/>
    <w:rsid w:val="00D7655C"/>
    <w:rsid w:val="00D80B67"/>
    <w:rsid w:val="00D8309D"/>
    <w:rsid w:val="00D83596"/>
    <w:rsid w:val="00D86470"/>
    <w:rsid w:val="00D86A90"/>
    <w:rsid w:val="00D90B90"/>
    <w:rsid w:val="00D91681"/>
    <w:rsid w:val="00D94CA4"/>
    <w:rsid w:val="00D94CD9"/>
    <w:rsid w:val="00D95031"/>
    <w:rsid w:val="00DA4344"/>
    <w:rsid w:val="00DA473B"/>
    <w:rsid w:val="00DA579E"/>
    <w:rsid w:val="00DB30BA"/>
    <w:rsid w:val="00DB36CB"/>
    <w:rsid w:val="00DB46BF"/>
    <w:rsid w:val="00DB4B15"/>
    <w:rsid w:val="00DB55E4"/>
    <w:rsid w:val="00DB5BA6"/>
    <w:rsid w:val="00DB7010"/>
    <w:rsid w:val="00DC1CA8"/>
    <w:rsid w:val="00DC5417"/>
    <w:rsid w:val="00DC6439"/>
    <w:rsid w:val="00DC68E5"/>
    <w:rsid w:val="00DC740A"/>
    <w:rsid w:val="00DC7D69"/>
    <w:rsid w:val="00DD25D8"/>
    <w:rsid w:val="00DD26CA"/>
    <w:rsid w:val="00DD4802"/>
    <w:rsid w:val="00DD7358"/>
    <w:rsid w:val="00DE20F9"/>
    <w:rsid w:val="00DE2A1D"/>
    <w:rsid w:val="00DE3101"/>
    <w:rsid w:val="00DE4F2C"/>
    <w:rsid w:val="00DE5324"/>
    <w:rsid w:val="00DE6C99"/>
    <w:rsid w:val="00DE73EE"/>
    <w:rsid w:val="00DF2D64"/>
    <w:rsid w:val="00DF2E4E"/>
    <w:rsid w:val="00DF3F3A"/>
    <w:rsid w:val="00DF6378"/>
    <w:rsid w:val="00E01547"/>
    <w:rsid w:val="00E01AA0"/>
    <w:rsid w:val="00E02D6A"/>
    <w:rsid w:val="00E03680"/>
    <w:rsid w:val="00E043E8"/>
    <w:rsid w:val="00E0752F"/>
    <w:rsid w:val="00E1094E"/>
    <w:rsid w:val="00E12394"/>
    <w:rsid w:val="00E134C3"/>
    <w:rsid w:val="00E13AE7"/>
    <w:rsid w:val="00E14EF8"/>
    <w:rsid w:val="00E16BF7"/>
    <w:rsid w:val="00E1726A"/>
    <w:rsid w:val="00E2012E"/>
    <w:rsid w:val="00E208D7"/>
    <w:rsid w:val="00E20B46"/>
    <w:rsid w:val="00E20D88"/>
    <w:rsid w:val="00E21124"/>
    <w:rsid w:val="00E2156E"/>
    <w:rsid w:val="00E22B29"/>
    <w:rsid w:val="00E33094"/>
    <w:rsid w:val="00E33490"/>
    <w:rsid w:val="00E34AD7"/>
    <w:rsid w:val="00E34AE6"/>
    <w:rsid w:val="00E34BF5"/>
    <w:rsid w:val="00E35316"/>
    <w:rsid w:val="00E37280"/>
    <w:rsid w:val="00E40932"/>
    <w:rsid w:val="00E41E6B"/>
    <w:rsid w:val="00E42193"/>
    <w:rsid w:val="00E42C02"/>
    <w:rsid w:val="00E44727"/>
    <w:rsid w:val="00E4480D"/>
    <w:rsid w:val="00E506DF"/>
    <w:rsid w:val="00E51996"/>
    <w:rsid w:val="00E52627"/>
    <w:rsid w:val="00E5424B"/>
    <w:rsid w:val="00E55C9B"/>
    <w:rsid w:val="00E55EBF"/>
    <w:rsid w:val="00E57122"/>
    <w:rsid w:val="00E57F76"/>
    <w:rsid w:val="00E60163"/>
    <w:rsid w:val="00E60253"/>
    <w:rsid w:val="00E60DEA"/>
    <w:rsid w:val="00E61700"/>
    <w:rsid w:val="00E61778"/>
    <w:rsid w:val="00E61977"/>
    <w:rsid w:val="00E62A8A"/>
    <w:rsid w:val="00E62DAE"/>
    <w:rsid w:val="00E65A9C"/>
    <w:rsid w:val="00E668D2"/>
    <w:rsid w:val="00E671C9"/>
    <w:rsid w:val="00E7064D"/>
    <w:rsid w:val="00E70D43"/>
    <w:rsid w:val="00E7194F"/>
    <w:rsid w:val="00E7298E"/>
    <w:rsid w:val="00E7342C"/>
    <w:rsid w:val="00E7494D"/>
    <w:rsid w:val="00E817B6"/>
    <w:rsid w:val="00E824E6"/>
    <w:rsid w:val="00E87C6D"/>
    <w:rsid w:val="00E908CE"/>
    <w:rsid w:val="00E91EA8"/>
    <w:rsid w:val="00E921CE"/>
    <w:rsid w:val="00E92707"/>
    <w:rsid w:val="00E92C5E"/>
    <w:rsid w:val="00E948FF"/>
    <w:rsid w:val="00E9581E"/>
    <w:rsid w:val="00E96111"/>
    <w:rsid w:val="00E97436"/>
    <w:rsid w:val="00EA2FC8"/>
    <w:rsid w:val="00EA3213"/>
    <w:rsid w:val="00EA3F70"/>
    <w:rsid w:val="00EA67FA"/>
    <w:rsid w:val="00EB00F6"/>
    <w:rsid w:val="00EB086E"/>
    <w:rsid w:val="00EB2C48"/>
    <w:rsid w:val="00EB359E"/>
    <w:rsid w:val="00EB558A"/>
    <w:rsid w:val="00EB6103"/>
    <w:rsid w:val="00EB686D"/>
    <w:rsid w:val="00EB686E"/>
    <w:rsid w:val="00EB6FE0"/>
    <w:rsid w:val="00EB7489"/>
    <w:rsid w:val="00EC138C"/>
    <w:rsid w:val="00EC29BE"/>
    <w:rsid w:val="00EC4D8A"/>
    <w:rsid w:val="00EC5D67"/>
    <w:rsid w:val="00ED17BA"/>
    <w:rsid w:val="00ED196B"/>
    <w:rsid w:val="00ED1A7A"/>
    <w:rsid w:val="00ED5A00"/>
    <w:rsid w:val="00ED673A"/>
    <w:rsid w:val="00ED76B1"/>
    <w:rsid w:val="00EE0113"/>
    <w:rsid w:val="00EE01B7"/>
    <w:rsid w:val="00EE0C57"/>
    <w:rsid w:val="00EE1856"/>
    <w:rsid w:val="00EE1AFD"/>
    <w:rsid w:val="00EE1DAD"/>
    <w:rsid w:val="00EE6456"/>
    <w:rsid w:val="00EE6A4C"/>
    <w:rsid w:val="00EE6AD5"/>
    <w:rsid w:val="00EE71A5"/>
    <w:rsid w:val="00EF0653"/>
    <w:rsid w:val="00EF1271"/>
    <w:rsid w:val="00EF1A6D"/>
    <w:rsid w:val="00EF25C8"/>
    <w:rsid w:val="00EF2792"/>
    <w:rsid w:val="00EF334F"/>
    <w:rsid w:val="00EF4D16"/>
    <w:rsid w:val="00EF5284"/>
    <w:rsid w:val="00EF5862"/>
    <w:rsid w:val="00EF5FE6"/>
    <w:rsid w:val="00F021AF"/>
    <w:rsid w:val="00F03249"/>
    <w:rsid w:val="00F03CDA"/>
    <w:rsid w:val="00F06505"/>
    <w:rsid w:val="00F06F0B"/>
    <w:rsid w:val="00F0794E"/>
    <w:rsid w:val="00F07B9C"/>
    <w:rsid w:val="00F10ADA"/>
    <w:rsid w:val="00F11542"/>
    <w:rsid w:val="00F12031"/>
    <w:rsid w:val="00F133A6"/>
    <w:rsid w:val="00F13849"/>
    <w:rsid w:val="00F14E21"/>
    <w:rsid w:val="00F15BFB"/>
    <w:rsid w:val="00F16491"/>
    <w:rsid w:val="00F16B1A"/>
    <w:rsid w:val="00F27F70"/>
    <w:rsid w:val="00F3299C"/>
    <w:rsid w:val="00F32F4A"/>
    <w:rsid w:val="00F33CFF"/>
    <w:rsid w:val="00F366F5"/>
    <w:rsid w:val="00F3748E"/>
    <w:rsid w:val="00F40100"/>
    <w:rsid w:val="00F409C4"/>
    <w:rsid w:val="00F411D5"/>
    <w:rsid w:val="00F41DEA"/>
    <w:rsid w:val="00F446B4"/>
    <w:rsid w:val="00F44744"/>
    <w:rsid w:val="00F45A9B"/>
    <w:rsid w:val="00F45EE0"/>
    <w:rsid w:val="00F46120"/>
    <w:rsid w:val="00F46B47"/>
    <w:rsid w:val="00F46B6F"/>
    <w:rsid w:val="00F519C4"/>
    <w:rsid w:val="00F53335"/>
    <w:rsid w:val="00F5336F"/>
    <w:rsid w:val="00F53791"/>
    <w:rsid w:val="00F53B35"/>
    <w:rsid w:val="00F55F79"/>
    <w:rsid w:val="00F6047D"/>
    <w:rsid w:val="00F611B4"/>
    <w:rsid w:val="00F6137D"/>
    <w:rsid w:val="00F63654"/>
    <w:rsid w:val="00F63717"/>
    <w:rsid w:val="00F63A87"/>
    <w:rsid w:val="00F656BB"/>
    <w:rsid w:val="00F65B3A"/>
    <w:rsid w:val="00F665C6"/>
    <w:rsid w:val="00F66CE6"/>
    <w:rsid w:val="00F70DD0"/>
    <w:rsid w:val="00F72892"/>
    <w:rsid w:val="00F72922"/>
    <w:rsid w:val="00F74312"/>
    <w:rsid w:val="00F778B6"/>
    <w:rsid w:val="00F8026D"/>
    <w:rsid w:val="00F82082"/>
    <w:rsid w:val="00F8267C"/>
    <w:rsid w:val="00F82788"/>
    <w:rsid w:val="00F82EB0"/>
    <w:rsid w:val="00F8332F"/>
    <w:rsid w:val="00F84370"/>
    <w:rsid w:val="00F84508"/>
    <w:rsid w:val="00F8671A"/>
    <w:rsid w:val="00F87C7D"/>
    <w:rsid w:val="00F90E6C"/>
    <w:rsid w:val="00F90F38"/>
    <w:rsid w:val="00F9141B"/>
    <w:rsid w:val="00F91A64"/>
    <w:rsid w:val="00F92C50"/>
    <w:rsid w:val="00F953B1"/>
    <w:rsid w:val="00F9553F"/>
    <w:rsid w:val="00FA0290"/>
    <w:rsid w:val="00FA0347"/>
    <w:rsid w:val="00FA116A"/>
    <w:rsid w:val="00FA4B13"/>
    <w:rsid w:val="00FA50DD"/>
    <w:rsid w:val="00FA51FC"/>
    <w:rsid w:val="00FA53C4"/>
    <w:rsid w:val="00FA71F8"/>
    <w:rsid w:val="00FB227A"/>
    <w:rsid w:val="00FB2C40"/>
    <w:rsid w:val="00FB4609"/>
    <w:rsid w:val="00FB5411"/>
    <w:rsid w:val="00FB60E3"/>
    <w:rsid w:val="00FB7170"/>
    <w:rsid w:val="00FB77CF"/>
    <w:rsid w:val="00FC0BDA"/>
    <w:rsid w:val="00FC0E25"/>
    <w:rsid w:val="00FC1377"/>
    <w:rsid w:val="00FC163D"/>
    <w:rsid w:val="00FC3480"/>
    <w:rsid w:val="00FC56A1"/>
    <w:rsid w:val="00FC6A80"/>
    <w:rsid w:val="00FD0314"/>
    <w:rsid w:val="00FD1BF8"/>
    <w:rsid w:val="00FD34DB"/>
    <w:rsid w:val="00FD39ED"/>
    <w:rsid w:val="00FD43EA"/>
    <w:rsid w:val="00FD4F58"/>
    <w:rsid w:val="00FD555E"/>
    <w:rsid w:val="00FD6923"/>
    <w:rsid w:val="00FD6990"/>
    <w:rsid w:val="00FD7A23"/>
    <w:rsid w:val="00FD7A5D"/>
    <w:rsid w:val="00FE008B"/>
    <w:rsid w:val="00FE2174"/>
    <w:rsid w:val="00FE2513"/>
    <w:rsid w:val="00FE290F"/>
    <w:rsid w:val="00FE3ED8"/>
    <w:rsid w:val="00FE5862"/>
    <w:rsid w:val="00FE5C2B"/>
    <w:rsid w:val="00FE751E"/>
    <w:rsid w:val="00FF04AC"/>
    <w:rsid w:val="00FF06EC"/>
    <w:rsid w:val="00FF0951"/>
    <w:rsid w:val="00FF1554"/>
    <w:rsid w:val="00FF1DE1"/>
    <w:rsid w:val="00FF4075"/>
    <w:rsid w:val="00FF430D"/>
    <w:rsid w:val="00FF53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76BB1"/>
  <w15:chartTrackingRefBased/>
  <w15:docId w15:val="{C345C49A-F7B2-438D-A142-EC856717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Verdana"/>
        <w:lang w:val="en-US" w:eastAsia="en-US" w:bidi="ar-SA"/>
      </w:rPr>
    </w:rPrDefault>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7" w:unhideWhenUsed="1"/>
    <w:lsdException w:name="Date" w:semiHidden="1" w:uiPriority="9"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7D20BB"/>
    <w:rPr>
      <w:rFonts w:ascii="Times New Roman" w:hAnsi="Times New Roman"/>
      <w:sz w:val="22"/>
      <w:lang w:val="en-GB"/>
    </w:rPr>
  </w:style>
  <w:style w:type="paragraph" w:styleId="Heading1">
    <w:name w:val="heading 1"/>
    <w:basedOn w:val="BodyText"/>
    <w:next w:val="BodyText"/>
    <w:link w:val="Heading1Char"/>
    <w:uiPriority w:val="3"/>
    <w:qFormat/>
    <w:rsid w:val="0035044D"/>
    <w:pPr>
      <w:keepNext/>
      <w:keepLines/>
      <w:jc w:val="left"/>
      <w:outlineLvl w:val="0"/>
    </w:pPr>
    <w:rPr>
      <w:b/>
      <w:caps/>
    </w:rPr>
  </w:style>
  <w:style w:type="paragraph" w:styleId="Heading2">
    <w:name w:val="heading 2"/>
    <w:basedOn w:val="BodyText"/>
    <w:next w:val="BodyText"/>
    <w:link w:val="Heading2Char"/>
    <w:uiPriority w:val="3"/>
    <w:qFormat/>
    <w:rsid w:val="008C37D6"/>
    <w:pPr>
      <w:keepNext/>
      <w:keepLines/>
      <w:jc w:val="left"/>
      <w:outlineLvl w:val="1"/>
    </w:pPr>
    <w:rPr>
      <w:b/>
    </w:rPr>
  </w:style>
  <w:style w:type="paragraph" w:styleId="Heading3">
    <w:name w:val="heading 3"/>
    <w:basedOn w:val="BodyText"/>
    <w:next w:val="BodyText"/>
    <w:link w:val="Heading3Char"/>
    <w:uiPriority w:val="3"/>
    <w:qFormat/>
    <w:rsid w:val="0035044D"/>
    <w:pPr>
      <w:keepNext/>
      <w:keepLines/>
      <w:jc w:val="left"/>
      <w:outlineLvl w:val="2"/>
    </w:pPr>
    <w:rPr>
      <w:b/>
    </w:rPr>
  </w:style>
  <w:style w:type="paragraph" w:styleId="Heading4">
    <w:name w:val="heading 4"/>
    <w:basedOn w:val="Heading3"/>
    <w:next w:val="BodyText"/>
    <w:link w:val="Heading4Char"/>
    <w:uiPriority w:val="3"/>
    <w:qFormat/>
    <w:rsid w:val="0035044D"/>
    <w:pPr>
      <w:outlineLvl w:val="3"/>
    </w:pPr>
  </w:style>
  <w:style w:type="paragraph" w:styleId="Heading5">
    <w:name w:val="heading 5"/>
    <w:basedOn w:val="BodyText"/>
    <w:next w:val="BodyText"/>
    <w:link w:val="Heading5Char"/>
    <w:uiPriority w:val="3"/>
    <w:qFormat/>
    <w:rsid w:val="0035044D"/>
    <w:pPr>
      <w:keepNext/>
      <w:keepLines/>
      <w:jc w:val="center"/>
      <w:outlineLvl w:val="4"/>
    </w:pPr>
    <w:rPr>
      <w:b/>
      <w:caps/>
    </w:rPr>
  </w:style>
  <w:style w:type="paragraph" w:styleId="Heading6">
    <w:name w:val="heading 6"/>
    <w:basedOn w:val="BodyText"/>
    <w:next w:val="BodyText"/>
    <w:link w:val="Heading6Char"/>
    <w:uiPriority w:val="3"/>
    <w:qFormat/>
    <w:rsid w:val="0035044D"/>
    <w:pPr>
      <w:keepNext/>
      <w:jc w:val="center"/>
      <w:outlineLvl w:val="5"/>
    </w:pPr>
    <w:rPr>
      <w:b/>
    </w:rPr>
  </w:style>
  <w:style w:type="paragraph" w:styleId="Heading7">
    <w:name w:val="heading 7"/>
    <w:basedOn w:val="BodyText"/>
    <w:next w:val="BodyText"/>
    <w:link w:val="Heading7Char"/>
    <w:semiHidden/>
    <w:rsid w:val="0035044D"/>
    <w:pPr>
      <w:keepNext/>
      <w:keepLines/>
      <w:outlineLvl w:val="6"/>
    </w:pPr>
  </w:style>
  <w:style w:type="paragraph" w:styleId="Heading8">
    <w:name w:val="heading 8"/>
    <w:basedOn w:val="BodyText"/>
    <w:next w:val="BodyText"/>
    <w:link w:val="Heading8Char"/>
    <w:semiHidden/>
    <w:rsid w:val="0035044D"/>
    <w:pPr>
      <w:jc w:val="left"/>
      <w:outlineLvl w:val="7"/>
    </w:pPr>
  </w:style>
  <w:style w:type="paragraph" w:styleId="Heading9">
    <w:name w:val="heading 9"/>
    <w:basedOn w:val="BodyText"/>
    <w:next w:val="Normal"/>
    <w:link w:val="Heading9Char"/>
    <w:semiHidden/>
    <w:rsid w:val="0035044D"/>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C37D6"/>
    <w:pPr>
      <w:spacing w:after="180" w:line="280" w:lineRule="atLeast"/>
      <w:jc w:val="both"/>
    </w:pPr>
  </w:style>
  <w:style w:type="character" w:customStyle="1" w:styleId="BodyTextChar">
    <w:name w:val="Body Text Char"/>
    <w:basedOn w:val="DefaultParagraphFont"/>
    <w:link w:val="BodyText"/>
    <w:rsid w:val="008C37D6"/>
    <w:rPr>
      <w:lang w:val="en-GB"/>
    </w:rPr>
  </w:style>
  <w:style w:type="paragraph" w:styleId="Footer">
    <w:name w:val="footer"/>
    <w:basedOn w:val="BodyText"/>
    <w:link w:val="FooterChar"/>
    <w:uiPriority w:val="99"/>
    <w:unhideWhenUsed/>
    <w:rsid w:val="00E60DEA"/>
    <w:pPr>
      <w:tabs>
        <w:tab w:val="right" w:pos="9029"/>
      </w:tabs>
      <w:spacing w:after="0"/>
    </w:pPr>
    <w:rPr>
      <w:sz w:val="16"/>
      <w:szCs w:val="16"/>
    </w:rPr>
  </w:style>
  <w:style w:type="character" w:customStyle="1" w:styleId="FooterChar">
    <w:name w:val="Footer Char"/>
    <w:basedOn w:val="DefaultParagraphFont"/>
    <w:link w:val="Footer"/>
    <w:uiPriority w:val="99"/>
    <w:rsid w:val="00E60DEA"/>
    <w:rPr>
      <w:sz w:val="16"/>
      <w:szCs w:val="16"/>
      <w:lang w:val="en-GB"/>
    </w:rPr>
  </w:style>
  <w:style w:type="paragraph" w:styleId="Header">
    <w:name w:val="header"/>
    <w:basedOn w:val="BodyText"/>
    <w:link w:val="HeaderChar"/>
    <w:semiHidden/>
    <w:rsid w:val="00E60DEA"/>
    <w:pPr>
      <w:tabs>
        <w:tab w:val="right" w:pos="8280"/>
      </w:tabs>
      <w:spacing w:after="0"/>
      <w:jc w:val="right"/>
    </w:pPr>
    <w:rPr>
      <w:sz w:val="16"/>
      <w:szCs w:val="16"/>
    </w:rPr>
  </w:style>
  <w:style w:type="character" w:customStyle="1" w:styleId="HeaderChar">
    <w:name w:val="Header Char"/>
    <w:basedOn w:val="DefaultParagraphFont"/>
    <w:link w:val="Header"/>
    <w:semiHidden/>
    <w:rsid w:val="00E60DEA"/>
    <w:rPr>
      <w:sz w:val="16"/>
      <w:szCs w:val="16"/>
      <w:lang w:val="en-GB"/>
    </w:rPr>
  </w:style>
  <w:style w:type="character" w:customStyle="1" w:styleId="Heading1Char">
    <w:name w:val="Heading 1 Char"/>
    <w:basedOn w:val="DefaultParagraphFont"/>
    <w:link w:val="Heading1"/>
    <w:uiPriority w:val="3"/>
    <w:rsid w:val="0035044D"/>
    <w:rPr>
      <w:rFonts w:ascii="Times New Roman" w:eastAsia="Times New Roman" w:hAnsi="Times New Roman" w:cs="Times New Roman"/>
      <w:b/>
      <w:caps/>
      <w:sz w:val="24"/>
      <w:szCs w:val="24"/>
      <w:lang w:val="en-GB"/>
    </w:rPr>
  </w:style>
  <w:style w:type="character" w:customStyle="1" w:styleId="Heading2Char">
    <w:name w:val="Heading 2 Char"/>
    <w:basedOn w:val="DefaultParagraphFont"/>
    <w:link w:val="Heading2"/>
    <w:uiPriority w:val="3"/>
    <w:rsid w:val="008C37D6"/>
    <w:rPr>
      <w:b/>
      <w:lang w:val="en-GB"/>
    </w:rPr>
  </w:style>
  <w:style w:type="character" w:customStyle="1" w:styleId="Heading3Char">
    <w:name w:val="Heading 3 Char"/>
    <w:basedOn w:val="DefaultParagraphFont"/>
    <w:link w:val="Heading3"/>
    <w:uiPriority w:val="3"/>
    <w:rsid w:val="0035044D"/>
    <w:rPr>
      <w:rFonts w:ascii="Times New Roman" w:eastAsia="Times New Roman" w:hAnsi="Times New Roman" w:cs="Times New Roman"/>
      <w:b/>
      <w:sz w:val="24"/>
      <w:szCs w:val="24"/>
      <w:lang w:val="en-GB"/>
    </w:rPr>
  </w:style>
  <w:style w:type="character" w:customStyle="1" w:styleId="Heading4Char">
    <w:name w:val="Heading 4 Char"/>
    <w:basedOn w:val="DefaultParagraphFont"/>
    <w:link w:val="Heading4"/>
    <w:uiPriority w:val="3"/>
    <w:rsid w:val="0035044D"/>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uiPriority w:val="3"/>
    <w:rsid w:val="0035044D"/>
    <w:rPr>
      <w:rFonts w:ascii="Times New Roman" w:eastAsia="Times New Roman" w:hAnsi="Times New Roman" w:cs="Times New Roman"/>
      <w:b/>
      <w:caps/>
      <w:sz w:val="24"/>
      <w:szCs w:val="24"/>
      <w:lang w:val="en-GB"/>
    </w:rPr>
  </w:style>
  <w:style w:type="character" w:customStyle="1" w:styleId="Heading6Char">
    <w:name w:val="Heading 6 Char"/>
    <w:basedOn w:val="DefaultParagraphFont"/>
    <w:link w:val="Heading6"/>
    <w:uiPriority w:val="3"/>
    <w:rsid w:val="0035044D"/>
    <w:rPr>
      <w:rFonts w:ascii="Times New Roman" w:eastAsia="Times New Roman" w:hAnsi="Times New Roman" w:cs="Times New Roman"/>
      <w:b/>
      <w:sz w:val="24"/>
      <w:szCs w:val="24"/>
      <w:lang w:val="en-GB"/>
    </w:rPr>
  </w:style>
  <w:style w:type="character" w:customStyle="1" w:styleId="Heading7Char">
    <w:name w:val="Heading 7 Char"/>
    <w:basedOn w:val="DefaultParagraphFont"/>
    <w:link w:val="Heading7"/>
    <w:semiHidden/>
    <w:rsid w:val="0035044D"/>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rsid w:val="0035044D"/>
    <w:rPr>
      <w:rFonts w:ascii="Times New Roman" w:eastAsia="Times New Roman" w:hAnsi="Times New Roman" w:cs="Times New Roman"/>
      <w:sz w:val="24"/>
      <w:szCs w:val="24"/>
      <w:lang w:val="en-GB"/>
    </w:rPr>
  </w:style>
  <w:style w:type="character" w:customStyle="1" w:styleId="Heading9Char">
    <w:name w:val="Heading 9 Char"/>
    <w:basedOn w:val="DefaultParagraphFont"/>
    <w:link w:val="Heading9"/>
    <w:semiHidden/>
    <w:rsid w:val="0035044D"/>
    <w:rPr>
      <w:rFonts w:ascii="Times New Roman" w:eastAsia="Times New Roman" w:hAnsi="Times New Roman" w:cs="Arial"/>
      <w:sz w:val="24"/>
      <w:lang w:val="en-GB"/>
    </w:rPr>
  </w:style>
  <w:style w:type="paragraph" w:customStyle="1" w:styleId="Address">
    <w:name w:val="Address"/>
    <w:basedOn w:val="BodyText"/>
    <w:uiPriority w:val="7"/>
    <w:unhideWhenUsed/>
    <w:rsid w:val="0035044D"/>
    <w:pPr>
      <w:spacing w:after="720"/>
    </w:pPr>
    <w:rPr>
      <w:noProof/>
    </w:rPr>
  </w:style>
  <w:style w:type="paragraph" w:styleId="Date">
    <w:name w:val="Date"/>
    <w:basedOn w:val="Normal"/>
    <w:next w:val="Normal"/>
    <w:link w:val="DateChar"/>
    <w:uiPriority w:val="9"/>
    <w:unhideWhenUsed/>
    <w:rsid w:val="0035044D"/>
  </w:style>
  <w:style w:type="character" w:customStyle="1" w:styleId="DateChar">
    <w:name w:val="Date Char"/>
    <w:basedOn w:val="DefaultParagraphFont"/>
    <w:link w:val="Date"/>
    <w:uiPriority w:val="9"/>
    <w:rsid w:val="0035044D"/>
    <w:rPr>
      <w:rFonts w:ascii="Times New Roman" w:eastAsia="Times New Roman" w:hAnsi="Times New Roman" w:cs="Times New Roman"/>
      <w:sz w:val="24"/>
      <w:szCs w:val="24"/>
      <w:lang w:val="en-GB"/>
    </w:rPr>
  </w:style>
  <w:style w:type="character" w:styleId="FootnoteReference">
    <w:name w:val="footnote reference"/>
    <w:basedOn w:val="DefaultParagraphFont"/>
    <w:uiPriority w:val="99"/>
    <w:unhideWhenUsed/>
    <w:rsid w:val="00E61977"/>
    <w:rPr>
      <w:rFonts w:ascii="Times New Roman" w:hAnsi="Times New Roman"/>
      <w:sz w:val="16"/>
      <w:vertAlign w:val="superscript"/>
      <w:lang w:val="en-GB"/>
    </w:rPr>
  </w:style>
  <w:style w:type="paragraph" w:customStyle="1" w:styleId="FootNoteSeparator">
    <w:name w:val="FootNote Separator"/>
    <w:basedOn w:val="Normal"/>
    <w:uiPriority w:val="7"/>
    <w:unhideWhenUsed/>
    <w:rsid w:val="0035044D"/>
    <w:pPr>
      <w:pBdr>
        <w:top w:val="single" w:sz="4" w:space="1" w:color="auto"/>
      </w:pBdr>
    </w:pPr>
  </w:style>
  <w:style w:type="paragraph" w:styleId="FootnoteText">
    <w:name w:val="footnote text"/>
    <w:basedOn w:val="BodyText"/>
    <w:link w:val="FootnoteTextChar"/>
    <w:uiPriority w:val="99"/>
    <w:rsid w:val="00E60DEA"/>
    <w:pPr>
      <w:spacing w:after="40" w:line="240" w:lineRule="auto"/>
      <w:ind w:left="357" w:hanging="357"/>
    </w:pPr>
    <w:rPr>
      <w:sz w:val="16"/>
      <w:szCs w:val="16"/>
    </w:rPr>
  </w:style>
  <w:style w:type="character" w:customStyle="1" w:styleId="FootnoteTextChar">
    <w:name w:val="Footnote Text Char"/>
    <w:basedOn w:val="DefaultParagraphFont"/>
    <w:link w:val="FootnoteText"/>
    <w:uiPriority w:val="99"/>
    <w:rsid w:val="00E60DEA"/>
    <w:rPr>
      <w:sz w:val="16"/>
      <w:szCs w:val="16"/>
      <w:lang w:val="en-GB"/>
    </w:rPr>
  </w:style>
  <w:style w:type="paragraph" w:customStyle="1" w:styleId="FsTable">
    <w:name w:val="FsTable"/>
    <w:basedOn w:val="BodyText"/>
    <w:uiPriority w:val="1"/>
    <w:qFormat/>
    <w:rsid w:val="008C37D6"/>
    <w:pPr>
      <w:spacing w:before="120" w:after="120" w:line="240" w:lineRule="atLeast"/>
      <w:jc w:val="left"/>
    </w:pPr>
  </w:style>
  <w:style w:type="paragraph" w:customStyle="1" w:styleId="FsTableHeading">
    <w:name w:val="FsTableHeading"/>
    <w:basedOn w:val="BodyText"/>
    <w:next w:val="FsTable"/>
    <w:uiPriority w:val="1"/>
    <w:qFormat/>
    <w:rsid w:val="008C37D6"/>
    <w:pPr>
      <w:keepNext/>
      <w:keepLines/>
      <w:spacing w:before="120" w:after="120" w:line="240" w:lineRule="atLeast"/>
      <w:jc w:val="left"/>
    </w:pPr>
    <w:rPr>
      <w:b/>
    </w:rPr>
  </w:style>
  <w:style w:type="paragraph" w:customStyle="1" w:styleId="FWRecitals">
    <w:name w:val="FWRecitals"/>
    <w:basedOn w:val="Normal"/>
    <w:link w:val="FWRecitalsChar"/>
    <w:qFormat/>
    <w:rsid w:val="0035044D"/>
    <w:pPr>
      <w:numPr>
        <w:numId w:val="1"/>
      </w:numPr>
      <w:spacing w:after="180" w:line="280" w:lineRule="atLeast"/>
      <w:jc w:val="both"/>
    </w:pPr>
    <w:rPr>
      <w:rFonts w:eastAsia="SimSun"/>
    </w:rPr>
  </w:style>
  <w:style w:type="paragraph" w:customStyle="1" w:styleId="HeaderFPCSLogo">
    <w:name w:val="HeaderFPCSLogo"/>
    <w:basedOn w:val="Header"/>
    <w:semiHidden/>
    <w:rsid w:val="0035044D"/>
    <w:pPr>
      <w:tabs>
        <w:tab w:val="clear" w:pos="8280"/>
      </w:tabs>
      <w:jc w:val="center"/>
    </w:pPr>
  </w:style>
  <w:style w:type="paragraph" w:customStyle="1" w:styleId="HeaderCPCSLogo">
    <w:name w:val="HeaderCPCSLogo"/>
    <w:basedOn w:val="HeaderFPCSLogo"/>
    <w:semiHidden/>
    <w:rsid w:val="0035044D"/>
    <w:pPr>
      <w:spacing w:before="360"/>
    </w:pPr>
  </w:style>
  <w:style w:type="paragraph" w:customStyle="1" w:styleId="HeaderCPN">
    <w:name w:val="HeaderCPN"/>
    <w:basedOn w:val="BodyText"/>
    <w:semiHidden/>
    <w:rsid w:val="0035044D"/>
    <w:pPr>
      <w:spacing w:before="360" w:after="0"/>
      <w:jc w:val="right"/>
    </w:pPr>
  </w:style>
  <w:style w:type="paragraph" w:customStyle="1" w:styleId="HeaderFPN">
    <w:name w:val="HeaderFPN"/>
    <w:basedOn w:val="HeaderCPN"/>
    <w:semiHidden/>
    <w:rsid w:val="0035044D"/>
    <w:pPr>
      <w:spacing w:before="0"/>
    </w:pPr>
  </w:style>
  <w:style w:type="paragraph" w:customStyle="1" w:styleId="MarginalNote">
    <w:name w:val="Marginal Note"/>
    <w:basedOn w:val="BodyText"/>
    <w:next w:val="BodyText"/>
    <w:uiPriority w:val="2"/>
    <w:rsid w:val="0035044D"/>
    <w:pPr>
      <w:keepNext/>
      <w:keepLines/>
      <w:framePr w:w="1152" w:hSpace="144" w:wrap="around" w:vAnchor="text" w:hAnchor="page" w:y="1"/>
      <w:spacing w:before="40" w:line="180" w:lineRule="exact"/>
    </w:pPr>
    <w:rPr>
      <w:b/>
      <w:sz w:val="16"/>
    </w:rPr>
  </w:style>
  <w:style w:type="character" w:styleId="PageNumber">
    <w:name w:val="page number"/>
    <w:basedOn w:val="DefaultParagraphFont"/>
    <w:uiPriority w:val="7"/>
    <w:unhideWhenUsed/>
    <w:rsid w:val="008C37D6"/>
    <w:rPr>
      <w:rFonts w:ascii="Verdana" w:hAnsi="Verdana"/>
      <w:sz w:val="16"/>
      <w:lang w:val="en-GB"/>
    </w:rPr>
  </w:style>
  <w:style w:type="paragraph" w:customStyle="1" w:styleId="ParaHeading">
    <w:name w:val="ParaHeading"/>
    <w:basedOn w:val="BodyText"/>
    <w:next w:val="BodyText"/>
    <w:qFormat/>
    <w:rsid w:val="0035044D"/>
    <w:pPr>
      <w:keepNext/>
      <w:keepLines/>
    </w:pPr>
    <w:rPr>
      <w:b/>
    </w:rPr>
  </w:style>
  <w:style w:type="paragraph" w:styleId="Salutation">
    <w:name w:val="Salutation"/>
    <w:basedOn w:val="BodyText"/>
    <w:next w:val="Normal"/>
    <w:link w:val="SalutationChar"/>
    <w:uiPriority w:val="7"/>
    <w:unhideWhenUsed/>
    <w:rsid w:val="0035044D"/>
  </w:style>
  <w:style w:type="character" w:customStyle="1" w:styleId="SalutationChar">
    <w:name w:val="Salutation Char"/>
    <w:basedOn w:val="DefaultParagraphFont"/>
    <w:link w:val="Salutation"/>
    <w:uiPriority w:val="7"/>
    <w:rsid w:val="0035044D"/>
    <w:rPr>
      <w:rFonts w:ascii="Times New Roman" w:eastAsia="Times New Roman" w:hAnsi="Times New Roman" w:cs="Times New Roman"/>
      <w:sz w:val="24"/>
      <w:szCs w:val="24"/>
      <w:lang w:val="en-GB"/>
    </w:rPr>
  </w:style>
  <w:style w:type="paragraph" w:customStyle="1" w:styleId="Sealing">
    <w:name w:val="Sealing"/>
    <w:basedOn w:val="BodyText"/>
    <w:uiPriority w:val="2"/>
    <w:rsid w:val="0035044D"/>
    <w:pPr>
      <w:keepLines/>
      <w:tabs>
        <w:tab w:val="left" w:pos="1728"/>
        <w:tab w:val="left" w:pos="4320"/>
      </w:tabs>
      <w:spacing w:after="480"/>
    </w:pPr>
  </w:style>
  <w:style w:type="paragraph" w:styleId="TOAHeading">
    <w:name w:val="toa heading"/>
    <w:basedOn w:val="Normal"/>
    <w:next w:val="Normal"/>
    <w:semiHidden/>
    <w:rsid w:val="0035044D"/>
    <w:pPr>
      <w:spacing w:before="120"/>
    </w:pPr>
    <w:rPr>
      <w:rFonts w:ascii="Arial" w:hAnsi="Arial" w:cs="Arial"/>
      <w:b/>
      <w:bCs/>
    </w:rPr>
  </w:style>
  <w:style w:type="paragraph" w:styleId="TOC1">
    <w:name w:val="toc 1"/>
    <w:basedOn w:val="BodyText"/>
    <w:next w:val="BodyText"/>
    <w:uiPriority w:val="4"/>
    <w:rsid w:val="0035044D"/>
    <w:pPr>
      <w:keepLines/>
      <w:tabs>
        <w:tab w:val="right" w:leader="dot" w:pos="8309"/>
      </w:tabs>
      <w:spacing w:before="120" w:after="0"/>
      <w:ind w:left="720" w:right="720" w:hanging="720"/>
      <w:jc w:val="left"/>
    </w:pPr>
    <w:rPr>
      <w:caps/>
    </w:rPr>
  </w:style>
  <w:style w:type="paragraph" w:styleId="TOC2">
    <w:name w:val="toc 2"/>
    <w:basedOn w:val="BodyText"/>
    <w:next w:val="BodyText"/>
    <w:uiPriority w:val="4"/>
    <w:rsid w:val="0035044D"/>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4"/>
    <w:rsid w:val="0035044D"/>
    <w:pPr>
      <w:tabs>
        <w:tab w:val="right" w:leader="dot" w:pos="8307"/>
      </w:tabs>
      <w:spacing w:after="0"/>
      <w:ind w:left="720" w:right="720"/>
    </w:pPr>
  </w:style>
  <w:style w:type="paragraph" w:styleId="TOC4">
    <w:name w:val="toc 4"/>
    <w:basedOn w:val="BodyText"/>
    <w:next w:val="BodyText"/>
    <w:semiHidden/>
    <w:rsid w:val="0035044D"/>
    <w:pPr>
      <w:tabs>
        <w:tab w:val="right" w:leader="dot" w:pos="8309"/>
      </w:tabs>
      <w:spacing w:after="0"/>
      <w:ind w:left="1440" w:right="720"/>
    </w:pPr>
  </w:style>
  <w:style w:type="paragraph" w:styleId="TOC5">
    <w:name w:val="toc 5"/>
    <w:basedOn w:val="BodyText"/>
    <w:semiHidden/>
    <w:rsid w:val="0035044D"/>
    <w:pPr>
      <w:tabs>
        <w:tab w:val="right" w:leader="dot" w:pos="8309"/>
      </w:tabs>
      <w:spacing w:before="120" w:after="120"/>
      <w:ind w:left="720" w:right="720" w:hanging="720"/>
    </w:pPr>
    <w:rPr>
      <w:caps/>
    </w:rPr>
  </w:style>
  <w:style w:type="paragraph" w:styleId="TOC6">
    <w:name w:val="toc 6"/>
    <w:basedOn w:val="BodyText"/>
    <w:semiHidden/>
    <w:rsid w:val="0035044D"/>
    <w:pPr>
      <w:tabs>
        <w:tab w:val="right" w:leader="dot" w:pos="8309"/>
      </w:tabs>
      <w:ind w:left="720" w:right="720"/>
    </w:pPr>
  </w:style>
  <w:style w:type="paragraph" w:styleId="TOC7">
    <w:name w:val="toc 7"/>
    <w:basedOn w:val="BodyText"/>
    <w:semiHidden/>
    <w:rsid w:val="0035044D"/>
    <w:pPr>
      <w:tabs>
        <w:tab w:val="right" w:leader="dot" w:pos="8309"/>
      </w:tabs>
      <w:ind w:left="1080" w:right="720"/>
    </w:pPr>
    <w:rPr>
      <w:i/>
    </w:rPr>
  </w:style>
  <w:style w:type="paragraph" w:styleId="TOC8">
    <w:name w:val="toc 8"/>
    <w:basedOn w:val="BodyText"/>
    <w:semiHidden/>
    <w:rsid w:val="0035044D"/>
    <w:pPr>
      <w:tabs>
        <w:tab w:val="right" w:leader="dot" w:pos="8309"/>
      </w:tabs>
      <w:ind w:left="1440" w:right="720"/>
    </w:pPr>
    <w:rPr>
      <w:i/>
    </w:rPr>
  </w:style>
  <w:style w:type="paragraph" w:styleId="TOC9">
    <w:name w:val="toc 9"/>
    <w:basedOn w:val="BodyText"/>
    <w:next w:val="Normal"/>
    <w:semiHidden/>
    <w:rsid w:val="0035044D"/>
    <w:pPr>
      <w:tabs>
        <w:tab w:val="right" w:leader="dot" w:pos="8309"/>
      </w:tabs>
      <w:ind w:left="1440"/>
    </w:pPr>
    <w:rPr>
      <w:i/>
    </w:rPr>
  </w:style>
  <w:style w:type="character" w:styleId="Emphasis">
    <w:name w:val="Emphasis"/>
    <w:basedOn w:val="DefaultParagraphFont"/>
    <w:qFormat/>
    <w:rsid w:val="00061A47"/>
    <w:rPr>
      <w:rFonts w:ascii="Verdana" w:hAnsi="Verdana"/>
      <w:i/>
      <w:iCs/>
      <w:sz w:val="20"/>
      <w:lang w:val="en-GB"/>
    </w:rPr>
  </w:style>
  <w:style w:type="character" w:customStyle="1" w:styleId="FsHidden">
    <w:name w:val="FsHidden"/>
    <w:basedOn w:val="DefaultParagraphFont"/>
    <w:uiPriority w:val="1"/>
    <w:rsid w:val="0035044D"/>
    <w:rPr>
      <w:vanish/>
      <w:color w:val="708FFF" w:themeColor="accent4"/>
      <w:lang w:val="en-GB"/>
    </w:rPr>
  </w:style>
  <w:style w:type="paragraph" w:styleId="NoSpacing">
    <w:name w:val="No Spacing"/>
    <w:uiPriority w:val="2"/>
    <w:rsid w:val="008C37D6"/>
    <w:rPr>
      <w:rFonts w:eastAsia="Times New Roman" w:cs="Times New Roman"/>
      <w:szCs w:val="24"/>
      <w:lang w:val="en-GB"/>
    </w:rPr>
  </w:style>
  <w:style w:type="table" w:styleId="TableGrid">
    <w:name w:val="Table Grid"/>
    <w:basedOn w:val="TableNormal"/>
    <w:uiPriority w:val="39"/>
    <w:rsid w:val="008C37D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WRecitalsChar">
    <w:name w:val="FWRecitals Char"/>
    <w:link w:val="FWRecitals"/>
    <w:rsid w:val="0035044D"/>
    <w:rPr>
      <w:rFonts w:ascii="Times New Roman" w:eastAsia="SimSun" w:hAnsi="Times New Roman"/>
      <w:sz w:val="22"/>
      <w:lang w:val="en-GB"/>
    </w:rPr>
  </w:style>
  <w:style w:type="numbering" w:styleId="111111">
    <w:name w:val="Outline List 2"/>
    <w:basedOn w:val="NoList"/>
    <w:uiPriority w:val="99"/>
    <w:semiHidden/>
    <w:unhideWhenUsed/>
    <w:rsid w:val="0035044D"/>
  </w:style>
  <w:style w:type="numbering" w:styleId="1ai">
    <w:name w:val="Outline List 1"/>
    <w:basedOn w:val="NoList"/>
    <w:uiPriority w:val="99"/>
    <w:semiHidden/>
    <w:unhideWhenUsed/>
    <w:rsid w:val="0035044D"/>
  </w:style>
  <w:style w:type="numbering" w:styleId="ArticleSection">
    <w:name w:val="Outline List 3"/>
    <w:basedOn w:val="NoList"/>
    <w:uiPriority w:val="99"/>
    <w:semiHidden/>
    <w:unhideWhenUsed/>
    <w:rsid w:val="0035044D"/>
  </w:style>
  <w:style w:type="paragraph" w:styleId="BalloonText">
    <w:name w:val="Balloon Text"/>
    <w:basedOn w:val="Normal"/>
    <w:link w:val="BalloonTextChar"/>
    <w:uiPriority w:val="99"/>
    <w:semiHidden/>
    <w:rsid w:val="0035044D"/>
    <w:rPr>
      <w:rFonts w:ascii="Tahoma" w:hAnsi="Tahoma" w:cs="Tahoma"/>
      <w:sz w:val="16"/>
      <w:szCs w:val="16"/>
    </w:rPr>
  </w:style>
  <w:style w:type="character" w:customStyle="1" w:styleId="BalloonTextChar">
    <w:name w:val="Balloon Text Char"/>
    <w:basedOn w:val="DefaultParagraphFont"/>
    <w:link w:val="BalloonText"/>
    <w:uiPriority w:val="99"/>
    <w:semiHidden/>
    <w:rsid w:val="0035044D"/>
    <w:rPr>
      <w:rFonts w:ascii="Tahoma" w:eastAsia="Times New Roman" w:hAnsi="Tahoma" w:cs="Tahoma"/>
      <w:sz w:val="16"/>
      <w:szCs w:val="16"/>
      <w:lang w:val="en-GB"/>
    </w:rPr>
  </w:style>
  <w:style w:type="paragraph" w:styleId="Bibliography">
    <w:name w:val="Bibliography"/>
    <w:basedOn w:val="Normal"/>
    <w:next w:val="Normal"/>
    <w:uiPriority w:val="37"/>
    <w:semiHidden/>
    <w:rsid w:val="0035044D"/>
  </w:style>
  <w:style w:type="paragraph" w:styleId="BlockText">
    <w:name w:val="Block Text"/>
    <w:basedOn w:val="Normal"/>
    <w:uiPriority w:val="99"/>
    <w:semiHidden/>
    <w:rsid w:val="0035044D"/>
    <w:pPr>
      <w:pBdr>
        <w:top w:val="single" w:sz="2" w:space="10" w:color="C38EC0" w:themeColor="accent1" w:shadow="1" w:frame="1"/>
        <w:left w:val="single" w:sz="2" w:space="10" w:color="C38EC0" w:themeColor="accent1" w:shadow="1" w:frame="1"/>
        <w:bottom w:val="single" w:sz="2" w:space="10" w:color="C38EC0" w:themeColor="accent1" w:shadow="1" w:frame="1"/>
        <w:right w:val="single" w:sz="2" w:space="10" w:color="C38EC0" w:themeColor="accent1" w:shadow="1" w:frame="1"/>
      </w:pBdr>
      <w:ind w:left="1152" w:right="1152"/>
    </w:pPr>
    <w:rPr>
      <w:rFonts w:asciiTheme="minorHAnsi" w:eastAsiaTheme="minorEastAsia" w:hAnsiTheme="minorHAnsi" w:cstheme="minorBidi"/>
      <w:i/>
      <w:iCs/>
      <w:color w:val="C38EC0" w:themeColor="accent1"/>
    </w:rPr>
  </w:style>
  <w:style w:type="paragraph" w:styleId="BodyText2">
    <w:name w:val="Body Text 2"/>
    <w:basedOn w:val="Normal"/>
    <w:link w:val="BodyText2Char"/>
    <w:uiPriority w:val="99"/>
    <w:semiHidden/>
    <w:rsid w:val="0035044D"/>
    <w:pPr>
      <w:spacing w:after="120" w:line="480" w:lineRule="auto"/>
    </w:pPr>
  </w:style>
  <w:style w:type="character" w:customStyle="1" w:styleId="BodyText2Char">
    <w:name w:val="Body Text 2 Char"/>
    <w:basedOn w:val="DefaultParagraphFont"/>
    <w:link w:val="BodyText2"/>
    <w:uiPriority w:val="99"/>
    <w:semiHidden/>
    <w:rsid w:val="0035044D"/>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rsid w:val="0035044D"/>
    <w:pPr>
      <w:spacing w:after="120"/>
    </w:pPr>
    <w:rPr>
      <w:sz w:val="16"/>
      <w:szCs w:val="16"/>
    </w:rPr>
  </w:style>
  <w:style w:type="character" w:customStyle="1" w:styleId="BodyText3Char">
    <w:name w:val="Body Text 3 Char"/>
    <w:basedOn w:val="DefaultParagraphFont"/>
    <w:link w:val="BodyText3"/>
    <w:uiPriority w:val="99"/>
    <w:semiHidden/>
    <w:rsid w:val="0035044D"/>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semiHidden/>
    <w:rsid w:val="008C37D6"/>
    <w:pPr>
      <w:spacing w:after="0" w:line="240" w:lineRule="auto"/>
      <w:ind w:firstLine="720"/>
      <w:jc w:val="left"/>
    </w:pPr>
  </w:style>
  <w:style w:type="character" w:customStyle="1" w:styleId="BodyTextFirstIndentChar">
    <w:name w:val="Body Text First Indent Char"/>
    <w:basedOn w:val="BodyTextChar"/>
    <w:link w:val="BodyTextFirstIndent"/>
    <w:semiHidden/>
    <w:rsid w:val="008C37D6"/>
    <w:rPr>
      <w:lang w:val="en-GB"/>
    </w:rPr>
  </w:style>
  <w:style w:type="paragraph" w:styleId="BodyTextIndent">
    <w:name w:val="Body Text Indent"/>
    <w:basedOn w:val="Normal"/>
    <w:link w:val="BodyTextIndentChar"/>
    <w:uiPriority w:val="99"/>
    <w:semiHidden/>
    <w:rsid w:val="0035044D"/>
    <w:pPr>
      <w:spacing w:after="120"/>
      <w:ind w:left="360"/>
    </w:pPr>
  </w:style>
  <w:style w:type="character" w:customStyle="1" w:styleId="BodyTextIndentChar">
    <w:name w:val="Body Text Indent Char"/>
    <w:basedOn w:val="DefaultParagraphFont"/>
    <w:link w:val="BodyTextIndent"/>
    <w:uiPriority w:val="99"/>
    <w:semiHidden/>
    <w:rsid w:val="0035044D"/>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99"/>
    <w:semiHidden/>
    <w:rsid w:val="0035044D"/>
    <w:pPr>
      <w:spacing w:after="0"/>
      <w:ind w:firstLine="360"/>
    </w:pPr>
  </w:style>
  <w:style w:type="character" w:customStyle="1" w:styleId="BodyTextFirstIndent2Char">
    <w:name w:val="Body Text First Indent 2 Char"/>
    <w:basedOn w:val="BodyTextIndentChar"/>
    <w:link w:val="BodyTextFirstIndent2"/>
    <w:uiPriority w:val="99"/>
    <w:semiHidden/>
    <w:rsid w:val="0035044D"/>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semiHidden/>
    <w:rsid w:val="0035044D"/>
    <w:pPr>
      <w:spacing w:after="120" w:line="480" w:lineRule="auto"/>
      <w:ind w:left="360"/>
    </w:pPr>
  </w:style>
  <w:style w:type="character" w:customStyle="1" w:styleId="BodyTextIndent2Char">
    <w:name w:val="Body Text Indent 2 Char"/>
    <w:basedOn w:val="DefaultParagraphFont"/>
    <w:link w:val="BodyTextIndent2"/>
    <w:uiPriority w:val="99"/>
    <w:semiHidden/>
    <w:rsid w:val="0035044D"/>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semiHidden/>
    <w:rsid w:val="003504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044D"/>
    <w:rPr>
      <w:rFonts w:ascii="Times New Roman" w:eastAsia="Times New Roman" w:hAnsi="Times New Roman" w:cs="Times New Roman"/>
      <w:sz w:val="16"/>
      <w:szCs w:val="16"/>
      <w:lang w:val="en-GB"/>
    </w:rPr>
  </w:style>
  <w:style w:type="character" w:styleId="BookTitle">
    <w:name w:val="Book Title"/>
    <w:basedOn w:val="DefaultParagraphFont"/>
    <w:uiPriority w:val="33"/>
    <w:rsid w:val="00205DEB"/>
    <w:rPr>
      <w:b/>
      <w:bCs/>
      <w:caps w:val="0"/>
      <w:smallCaps w:val="0"/>
      <w:spacing w:val="5"/>
      <w:lang w:val="en-GB"/>
    </w:rPr>
  </w:style>
  <w:style w:type="paragraph" w:styleId="Caption">
    <w:name w:val="caption"/>
    <w:basedOn w:val="Normal"/>
    <w:next w:val="Normal"/>
    <w:uiPriority w:val="35"/>
    <w:semiHidden/>
    <w:rsid w:val="0035044D"/>
    <w:pPr>
      <w:spacing w:after="200"/>
    </w:pPr>
    <w:rPr>
      <w:b/>
      <w:bCs/>
      <w:color w:val="C38EC0" w:themeColor="accent1"/>
      <w:sz w:val="18"/>
      <w:szCs w:val="18"/>
    </w:rPr>
  </w:style>
  <w:style w:type="paragraph" w:styleId="Closing">
    <w:name w:val="Closing"/>
    <w:basedOn w:val="Normal"/>
    <w:link w:val="ClosingChar"/>
    <w:uiPriority w:val="99"/>
    <w:semiHidden/>
    <w:rsid w:val="0035044D"/>
    <w:pPr>
      <w:ind w:left="4320"/>
    </w:pPr>
  </w:style>
  <w:style w:type="character" w:customStyle="1" w:styleId="ClosingChar">
    <w:name w:val="Closing Char"/>
    <w:basedOn w:val="DefaultParagraphFont"/>
    <w:link w:val="Closing"/>
    <w:uiPriority w:val="99"/>
    <w:semiHidden/>
    <w:rsid w:val="0035044D"/>
    <w:rPr>
      <w:rFonts w:ascii="Times New Roman" w:eastAsia="Times New Roman" w:hAnsi="Times New Roman" w:cs="Times New Roman"/>
      <w:sz w:val="24"/>
      <w:szCs w:val="24"/>
      <w:lang w:val="en-GB"/>
    </w:rPr>
  </w:style>
  <w:style w:type="table" w:styleId="ColourfulGrid">
    <w:name w:val="Colorful Grid"/>
    <w:basedOn w:val="TableNormal"/>
    <w:uiPriority w:val="73"/>
    <w:rsid w:val="0035044D"/>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35044D"/>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F3E8F2" w:themeFill="accent1" w:themeFillTint="33"/>
    </w:tcPr>
    <w:tblStylePr w:type="firstRow">
      <w:rPr>
        <w:b/>
        <w:bCs/>
      </w:rPr>
      <w:tblPr/>
      <w:tcPr>
        <w:shd w:val="clear" w:color="auto" w:fill="E7D1E5" w:themeFill="accent1" w:themeFillTint="66"/>
      </w:tcPr>
    </w:tblStylePr>
    <w:tblStylePr w:type="lastRow">
      <w:rPr>
        <w:b/>
        <w:bCs/>
        <w:color w:val="000000" w:themeColor="text1"/>
      </w:rPr>
      <w:tblPr/>
      <w:tcPr>
        <w:shd w:val="clear" w:color="auto" w:fill="E7D1E5" w:themeFill="accent1" w:themeFillTint="66"/>
      </w:tcPr>
    </w:tblStylePr>
    <w:tblStylePr w:type="firstCol">
      <w:rPr>
        <w:color w:val="FFFFFF" w:themeColor="background1"/>
      </w:rPr>
      <w:tblPr/>
      <w:tcPr>
        <w:shd w:val="clear" w:color="auto" w:fill="A457A0" w:themeFill="accent1" w:themeFillShade="BF"/>
      </w:tcPr>
    </w:tblStylePr>
    <w:tblStylePr w:type="lastCol">
      <w:rPr>
        <w:color w:val="FFFFFF" w:themeColor="background1"/>
      </w:rPr>
      <w:tblPr/>
      <w:tcPr>
        <w:shd w:val="clear" w:color="auto" w:fill="A457A0" w:themeFill="accent1" w:themeFillShade="BF"/>
      </w:tcPr>
    </w:tblStylePr>
    <w:tblStylePr w:type="band1Vert">
      <w:tblPr/>
      <w:tcPr>
        <w:shd w:val="clear" w:color="auto" w:fill="E1C6DF" w:themeFill="accent1" w:themeFillTint="7F"/>
      </w:tcPr>
    </w:tblStylePr>
    <w:tblStylePr w:type="band1Horz">
      <w:tblPr/>
      <w:tcPr>
        <w:shd w:val="clear" w:color="auto" w:fill="E1C6DF" w:themeFill="accent1" w:themeFillTint="7F"/>
      </w:tcPr>
    </w:tblStylePr>
  </w:style>
  <w:style w:type="table" w:styleId="ColourfulGridAccent2">
    <w:name w:val="Colorful Grid Accent 2"/>
    <w:basedOn w:val="TableNormal"/>
    <w:uiPriority w:val="73"/>
    <w:rsid w:val="0035044D"/>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F4ECDB" w:themeFill="accent2" w:themeFillTint="33"/>
    </w:tcPr>
    <w:tblStylePr w:type="firstRow">
      <w:rPr>
        <w:b/>
        <w:bCs/>
      </w:rPr>
      <w:tblPr/>
      <w:tcPr>
        <w:shd w:val="clear" w:color="auto" w:fill="EADAB8" w:themeFill="accent2" w:themeFillTint="66"/>
      </w:tcPr>
    </w:tblStylePr>
    <w:tblStylePr w:type="lastRow">
      <w:rPr>
        <w:b/>
        <w:bCs/>
        <w:color w:val="000000" w:themeColor="text1"/>
      </w:rPr>
      <w:tblPr/>
      <w:tcPr>
        <w:shd w:val="clear" w:color="auto" w:fill="EADAB8" w:themeFill="accent2" w:themeFillTint="66"/>
      </w:tcPr>
    </w:tblStylePr>
    <w:tblStylePr w:type="firstCol">
      <w:rPr>
        <w:color w:val="FFFFFF" w:themeColor="background1"/>
      </w:rPr>
      <w:tblPr/>
      <w:tcPr>
        <w:shd w:val="clear" w:color="auto" w:fill="A47E2F" w:themeFill="accent2" w:themeFillShade="BF"/>
      </w:tcPr>
    </w:tblStylePr>
    <w:tblStylePr w:type="lastCol">
      <w:rPr>
        <w:color w:val="FFFFFF" w:themeColor="background1"/>
      </w:rPr>
      <w:tblPr/>
      <w:tcPr>
        <w:shd w:val="clear" w:color="auto" w:fill="A47E2F" w:themeFill="accent2" w:themeFillShade="BF"/>
      </w:tcPr>
    </w:tblStylePr>
    <w:tblStylePr w:type="band1Vert">
      <w:tblPr/>
      <w:tcPr>
        <w:shd w:val="clear" w:color="auto" w:fill="E5D1A7" w:themeFill="accent2" w:themeFillTint="7F"/>
      </w:tcPr>
    </w:tblStylePr>
    <w:tblStylePr w:type="band1Horz">
      <w:tblPr/>
      <w:tcPr>
        <w:shd w:val="clear" w:color="auto" w:fill="E5D1A7" w:themeFill="accent2" w:themeFillTint="7F"/>
      </w:tcPr>
    </w:tblStylePr>
  </w:style>
  <w:style w:type="table" w:styleId="ColourfulGridAccent3">
    <w:name w:val="Colorful Grid Accent 3"/>
    <w:basedOn w:val="TableNormal"/>
    <w:uiPriority w:val="73"/>
    <w:rsid w:val="0035044D"/>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FFE0D6" w:themeFill="accent3" w:themeFillTint="33"/>
    </w:tcPr>
    <w:tblStylePr w:type="firstRow">
      <w:rPr>
        <w:b/>
        <w:bCs/>
      </w:rPr>
      <w:tblPr/>
      <w:tcPr>
        <w:shd w:val="clear" w:color="auto" w:fill="FFC2AE" w:themeFill="accent3" w:themeFillTint="66"/>
      </w:tcPr>
    </w:tblStylePr>
    <w:tblStylePr w:type="lastRow">
      <w:rPr>
        <w:b/>
        <w:bCs/>
        <w:color w:val="000000" w:themeColor="text1"/>
      </w:rPr>
      <w:tblPr/>
      <w:tcPr>
        <w:shd w:val="clear" w:color="auto" w:fill="FFC2AE" w:themeFill="accent3" w:themeFillTint="66"/>
      </w:tcPr>
    </w:tblStylePr>
    <w:tblStylePr w:type="firstCol">
      <w:rPr>
        <w:color w:val="FFFFFF" w:themeColor="background1"/>
      </w:rPr>
      <w:tblPr/>
      <w:tcPr>
        <w:shd w:val="clear" w:color="auto" w:fill="E63900" w:themeFill="accent3" w:themeFillShade="BF"/>
      </w:tcPr>
    </w:tblStylePr>
    <w:tblStylePr w:type="lastCol">
      <w:rPr>
        <w:color w:val="FFFFFF" w:themeColor="background1"/>
      </w:rPr>
      <w:tblPr/>
      <w:tcPr>
        <w:shd w:val="clear" w:color="auto" w:fill="E63900" w:themeFill="accent3" w:themeFillShade="BF"/>
      </w:tcPr>
    </w:tblStylePr>
    <w:tblStylePr w:type="band1Vert">
      <w:tblPr/>
      <w:tcPr>
        <w:shd w:val="clear" w:color="auto" w:fill="FFB39A" w:themeFill="accent3" w:themeFillTint="7F"/>
      </w:tcPr>
    </w:tblStylePr>
    <w:tblStylePr w:type="band1Horz">
      <w:tblPr/>
      <w:tcPr>
        <w:shd w:val="clear" w:color="auto" w:fill="FFB39A" w:themeFill="accent3" w:themeFillTint="7F"/>
      </w:tcPr>
    </w:tblStylePr>
  </w:style>
  <w:style w:type="table" w:styleId="ColourfulGridAccent4">
    <w:name w:val="Colorful Grid Accent 4"/>
    <w:basedOn w:val="TableNormal"/>
    <w:uiPriority w:val="73"/>
    <w:rsid w:val="0035044D"/>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E2E8FF" w:themeFill="accent4" w:themeFillTint="33"/>
    </w:tcPr>
    <w:tblStylePr w:type="firstRow">
      <w:rPr>
        <w:b/>
        <w:bCs/>
      </w:rPr>
      <w:tblPr/>
      <w:tcPr>
        <w:shd w:val="clear" w:color="auto" w:fill="C5D2FF" w:themeFill="accent4" w:themeFillTint="66"/>
      </w:tcPr>
    </w:tblStylePr>
    <w:tblStylePr w:type="lastRow">
      <w:rPr>
        <w:b/>
        <w:bCs/>
        <w:color w:val="000000" w:themeColor="text1"/>
      </w:rPr>
      <w:tblPr/>
      <w:tcPr>
        <w:shd w:val="clear" w:color="auto" w:fill="C5D2FF" w:themeFill="accent4" w:themeFillTint="66"/>
      </w:tcPr>
    </w:tblStylePr>
    <w:tblStylePr w:type="firstCol">
      <w:rPr>
        <w:color w:val="FFFFFF" w:themeColor="background1"/>
      </w:rPr>
      <w:tblPr/>
      <w:tcPr>
        <w:shd w:val="clear" w:color="auto" w:fill="1346FF" w:themeFill="accent4" w:themeFillShade="BF"/>
      </w:tcPr>
    </w:tblStylePr>
    <w:tblStylePr w:type="lastCol">
      <w:rPr>
        <w:color w:val="FFFFFF" w:themeColor="background1"/>
      </w:rPr>
      <w:tblPr/>
      <w:tcPr>
        <w:shd w:val="clear" w:color="auto" w:fill="1346FF" w:themeFill="accent4" w:themeFillShade="BF"/>
      </w:tcPr>
    </w:tblStylePr>
    <w:tblStylePr w:type="band1Vert">
      <w:tblPr/>
      <w:tcPr>
        <w:shd w:val="clear" w:color="auto" w:fill="B7C7FF" w:themeFill="accent4" w:themeFillTint="7F"/>
      </w:tcPr>
    </w:tblStylePr>
    <w:tblStylePr w:type="band1Horz">
      <w:tblPr/>
      <w:tcPr>
        <w:shd w:val="clear" w:color="auto" w:fill="B7C7FF" w:themeFill="accent4" w:themeFillTint="7F"/>
      </w:tcPr>
    </w:tblStylePr>
  </w:style>
  <w:style w:type="table" w:styleId="ColourfulGridAccent5">
    <w:name w:val="Colorful Grid Accent 5"/>
    <w:basedOn w:val="TableNormal"/>
    <w:uiPriority w:val="73"/>
    <w:rsid w:val="0035044D"/>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D9F1DB" w:themeFill="accent5" w:themeFillTint="33"/>
    </w:tcPr>
    <w:tblStylePr w:type="firstRow">
      <w:rPr>
        <w:b/>
        <w:bCs/>
      </w:rPr>
      <w:tblPr/>
      <w:tcPr>
        <w:shd w:val="clear" w:color="auto" w:fill="B4E3B9" w:themeFill="accent5" w:themeFillTint="66"/>
      </w:tcPr>
    </w:tblStylePr>
    <w:tblStylePr w:type="lastRow">
      <w:rPr>
        <w:b/>
        <w:bCs/>
        <w:color w:val="000000" w:themeColor="text1"/>
      </w:rPr>
      <w:tblPr/>
      <w:tcPr>
        <w:shd w:val="clear" w:color="auto" w:fill="B4E3B9" w:themeFill="accent5" w:themeFillTint="66"/>
      </w:tcPr>
    </w:tblStylePr>
    <w:tblStylePr w:type="firstCol">
      <w:rPr>
        <w:color w:val="FFFFFF" w:themeColor="background1"/>
      </w:rPr>
      <w:tblPr/>
      <w:tcPr>
        <w:shd w:val="clear" w:color="auto" w:fill="338C3B" w:themeFill="accent5" w:themeFillShade="BF"/>
      </w:tcPr>
    </w:tblStylePr>
    <w:tblStylePr w:type="lastCol">
      <w:rPr>
        <w:color w:val="FFFFFF" w:themeColor="background1"/>
      </w:rPr>
      <w:tblPr/>
      <w:tcPr>
        <w:shd w:val="clear" w:color="auto" w:fill="338C3B" w:themeFill="accent5" w:themeFillShade="BF"/>
      </w:tcPr>
    </w:tblStylePr>
    <w:tblStylePr w:type="band1Vert">
      <w:tblPr/>
      <w:tcPr>
        <w:shd w:val="clear" w:color="auto" w:fill="A2DDA7" w:themeFill="accent5" w:themeFillTint="7F"/>
      </w:tcPr>
    </w:tblStylePr>
    <w:tblStylePr w:type="band1Horz">
      <w:tblPr/>
      <w:tcPr>
        <w:shd w:val="clear" w:color="auto" w:fill="A2DDA7" w:themeFill="accent5" w:themeFillTint="7F"/>
      </w:tcPr>
    </w:tblStylePr>
  </w:style>
  <w:style w:type="table" w:styleId="ColourfulGridAccent6">
    <w:name w:val="Colorful Grid Accent 6"/>
    <w:basedOn w:val="TableNormal"/>
    <w:uiPriority w:val="73"/>
    <w:rsid w:val="0035044D"/>
    <w:rPr>
      <w:rFonts w:ascii="Times New Roman" w:hAnsi="Times New Roman" w:cs="Times New Roman"/>
      <w:color w:val="000000" w:themeColor="text1"/>
      <w:sz w:val="24"/>
      <w:szCs w:val="24"/>
      <w:lang w:val="en-GB"/>
    </w:rPr>
    <w:tblPr>
      <w:tblStyleRowBandSize w:val="1"/>
      <w:tblStyleColBandSize w:val="1"/>
      <w:tblBorders>
        <w:insideH w:val="single" w:sz="4" w:space="0" w:color="FFFFFF" w:themeColor="background1"/>
      </w:tblBorders>
    </w:tblPr>
    <w:tcPr>
      <w:shd w:val="clear" w:color="auto" w:fill="F4F4F1" w:themeFill="accent6" w:themeFillTint="33"/>
    </w:tcPr>
    <w:tblStylePr w:type="firstRow">
      <w:rPr>
        <w:b/>
        <w:bCs/>
      </w:rPr>
      <w:tblPr/>
      <w:tcPr>
        <w:shd w:val="clear" w:color="auto" w:fill="EAEAE4" w:themeFill="accent6" w:themeFillTint="66"/>
      </w:tcPr>
    </w:tblStylePr>
    <w:tblStylePr w:type="lastRow">
      <w:rPr>
        <w:b/>
        <w:bCs/>
        <w:color w:val="000000" w:themeColor="text1"/>
      </w:rPr>
      <w:tblPr/>
      <w:tcPr>
        <w:shd w:val="clear" w:color="auto" w:fill="EAEAE4" w:themeFill="accent6" w:themeFillTint="66"/>
      </w:tcPr>
    </w:tblStylePr>
    <w:tblStylePr w:type="firstCol">
      <w:rPr>
        <w:color w:val="FFFFFF" w:themeColor="background1"/>
      </w:rPr>
      <w:tblPr/>
      <w:tcPr>
        <w:shd w:val="clear" w:color="auto" w:fill="A09E86" w:themeFill="accent6" w:themeFillShade="BF"/>
      </w:tcPr>
    </w:tblStylePr>
    <w:tblStylePr w:type="lastCol">
      <w:rPr>
        <w:color w:val="FFFFFF" w:themeColor="background1"/>
      </w:rPr>
      <w:tblPr/>
      <w:tcPr>
        <w:shd w:val="clear" w:color="auto" w:fill="A09E86" w:themeFill="accent6" w:themeFillShade="BF"/>
      </w:tcPr>
    </w:tblStylePr>
    <w:tblStylePr w:type="band1Vert">
      <w:tblPr/>
      <w:tcPr>
        <w:shd w:val="clear" w:color="auto" w:fill="E5E4DE" w:themeFill="accent6" w:themeFillTint="7F"/>
      </w:tcPr>
    </w:tblStylePr>
    <w:tblStylePr w:type="band1Horz">
      <w:tblPr/>
      <w:tcPr>
        <w:shd w:val="clear" w:color="auto" w:fill="E5E4DE" w:themeFill="accent6" w:themeFillTint="7F"/>
      </w:tcPr>
    </w:tblStylePr>
  </w:style>
  <w:style w:type="table" w:styleId="ColourfulList">
    <w:name w:val="Colorful List"/>
    <w:basedOn w:val="TableNormal"/>
    <w:uiPriority w:val="72"/>
    <w:rsid w:val="0035044D"/>
    <w:rPr>
      <w:rFonts w:ascii="Times New Roman" w:hAnsi="Times New Roman" w:cs="Times New Roman"/>
      <w:color w:val="000000" w:themeColor="text1"/>
      <w:sz w:val="24"/>
      <w:szCs w:val="24"/>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F8733" w:themeFill="accent2" w:themeFillShade="CC"/>
      </w:tcPr>
    </w:tblStylePr>
    <w:tblStylePr w:type="lastRow">
      <w:rPr>
        <w:b/>
        <w:bCs/>
        <w:color w:val="AF87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35044D"/>
    <w:rPr>
      <w:rFonts w:ascii="Times New Roman" w:hAnsi="Times New Roman" w:cs="Times New Roman"/>
      <w:color w:val="000000" w:themeColor="text1"/>
      <w:sz w:val="24"/>
      <w:szCs w:val="24"/>
      <w:lang w:val="en-GB"/>
    </w:rPr>
    <w:tblPr>
      <w:tblStyleRowBandSize w:val="1"/>
      <w:tblStyleColBandSize w:val="1"/>
    </w:tblPr>
    <w:tcPr>
      <w:shd w:val="clear" w:color="auto" w:fill="F9F3F8" w:themeFill="accent1" w:themeFillTint="19"/>
    </w:tcPr>
    <w:tblStylePr w:type="firstRow">
      <w:rPr>
        <w:b/>
        <w:bCs/>
        <w:color w:val="FFFFFF" w:themeColor="background1"/>
      </w:rPr>
      <w:tblPr/>
      <w:tcPr>
        <w:tcBorders>
          <w:bottom w:val="single" w:sz="12" w:space="0" w:color="FFFFFF" w:themeColor="background1"/>
        </w:tcBorders>
        <w:shd w:val="clear" w:color="auto" w:fill="AF8733" w:themeFill="accent2" w:themeFillShade="CC"/>
      </w:tcPr>
    </w:tblStylePr>
    <w:tblStylePr w:type="lastRow">
      <w:rPr>
        <w:b/>
        <w:bCs/>
        <w:color w:val="AF87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E2EF" w:themeFill="accent1" w:themeFillTint="3F"/>
      </w:tcPr>
    </w:tblStylePr>
    <w:tblStylePr w:type="band1Horz">
      <w:tblPr/>
      <w:tcPr>
        <w:shd w:val="clear" w:color="auto" w:fill="F3E8F2" w:themeFill="accent1" w:themeFillTint="33"/>
      </w:tcPr>
    </w:tblStylePr>
  </w:style>
  <w:style w:type="table" w:styleId="ColourfulListAccent2">
    <w:name w:val="Colorful List Accent 2"/>
    <w:basedOn w:val="TableNormal"/>
    <w:uiPriority w:val="72"/>
    <w:rsid w:val="0035044D"/>
    <w:rPr>
      <w:rFonts w:ascii="Times New Roman" w:hAnsi="Times New Roman" w:cs="Times New Roman"/>
      <w:color w:val="000000" w:themeColor="text1"/>
      <w:sz w:val="24"/>
      <w:szCs w:val="24"/>
      <w:lang w:val="en-GB"/>
    </w:rPr>
    <w:tblPr>
      <w:tblStyleRowBandSize w:val="1"/>
      <w:tblStyleColBandSize w:val="1"/>
    </w:tblPr>
    <w:tcPr>
      <w:shd w:val="clear" w:color="auto" w:fill="FAF6ED" w:themeFill="accent2" w:themeFillTint="19"/>
    </w:tcPr>
    <w:tblStylePr w:type="firstRow">
      <w:rPr>
        <w:b/>
        <w:bCs/>
        <w:color w:val="FFFFFF" w:themeColor="background1"/>
      </w:rPr>
      <w:tblPr/>
      <w:tcPr>
        <w:tcBorders>
          <w:bottom w:val="single" w:sz="12" w:space="0" w:color="FFFFFF" w:themeColor="background1"/>
        </w:tcBorders>
        <w:shd w:val="clear" w:color="auto" w:fill="AF8733" w:themeFill="accent2" w:themeFillShade="CC"/>
      </w:tcPr>
    </w:tblStylePr>
    <w:tblStylePr w:type="lastRow">
      <w:rPr>
        <w:b/>
        <w:bCs/>
        <w:color w:val="AF873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8D3" w:themeFill="accent2" w:themeFillTint="3F"/>
      </w:tcPr>
    </w:tblStylePr>
    <w:tblStylePr w:type="band1Horz">
      <w:tblPr/>
      <w:tcPr>
        <w:shd w:val="clear" w:color="auto" w:fill="F4ECDB" w:themeFill="accent2" w:themeFillTint="33"/>
      </w:tcPr>
    </w:tblStylePr>
  </w:style>
  <w:style w:type="table" w:styleId="ColourfulListAccent3">
    <w:name w:val="Colorful List Accent 3"/>
    <w:basedOn w:val="TableNormal"/>
    <w:uiPriority w:val="72"/>
    <w:rsid w:val="0035044D"/>
    <w:rPr>
      <w:rFonts w:ascii="Times New Roman" w:hAnsi="Times New Roman" w:cs="Times New Roman"/>
      <w:color w:val="000000" w:themeColor="text1"/>
      <w:sz w:val="24"/>
      <w:szCs w:val="24"/>
      <w:lang w:val="en-GB"/>
    </w:rPr>
    <w:tblPr>
      <w:tblStyleRowBandSize w:val="1"/>
      <w:tblStyleColBandSize w:val="1"/>
    </w:tblPr>
    <w:tcPr>
      <w:shd w:val="clear" w:color="auto" w:fill="FFF0EB" w:themeFill="accent3" w:themeFillTint="19"/>
    </w:tcPr>
    <w:tblStylePr w:type="firstRow">
      <w:rPr>
        <w:b/>
        <w:bCs/>
        <w:color w:val="FFFFFF" w:themeColor="background1"/>
      </w:rPr>
      <w:tblPr/>
      <w:tcPr>
        <w:tcBorders>
          <w:bottom w:val="single" w:sz="12" w:space="0" w:color="FFFFFF" w:themeColor="background1"/>
        </w:tcBorders>
        <w:shd w:val="clear" w:color="auto" w:fill="2655FF" w:themeFill="accent4" w:themeFillShade="CC"/>
      </w:tcPr>
    </w:tblStylePr>
    <w:tblStylePr w:type="lastRow">
      <w:rPr>
        <w:b/>
        <w:bCs/>
        <w:color w:val="2655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D" w:themeFill="accent3" w:themeFillTint="3F"/>
      </w:tcPr>
    </w:tblStylePr>
    <w:tblStylePr w:type="band1Horz">
      <w:tblPr/>
      <w:tcPr>
        <w:shd w:val="clear" w:color="auto" w:fill="FFE0D6" w:themeFill="accent3" w:themeFillTint="33"/>
      </w:tcPr>
    </w:tblStylePr>
  </w:style>
  <w:style w:type="table" w:styleId="ColourfulListAccent4">
    <w:name w:val="Colorful List Accent 4"/>
    <w:basedOn w:val="TableNormal"/>
    <w:uiPriority w:val="72"/>
    <w:rsid w:val="0035044D"/>
    <w:rPr>
      <w:rFonts w:ascii="Times New Roman" w:hAnsi="Times New Roman" w:cs="Times New Roman"/>
      <w:color w:val="000000" w:themeColor="text1"/>
      <w:sz w:val="24"/>
      <w:szCs w:val="24"/>
      <w:lang w:val="en-GB"/>
    </w:rPr>
    <w:tblPr>
      <w:tblStyleRowBandSize w:val="1"/>
      <w:tblStyleColBandSize w:val="1"/>
    </w:tblPr>
    <w:tcPr>
      <w:shd w:val="clear" w:color="auto" w:fill="F0F3FF" w:themeFill="accent4" w:themeFillTint="19"/>
    </w:tcPr>
    <w:tblStylePr w:type="firstRow">
      <w:rPr>
        <w:b/>
        <w:bCs/>
        <w:color w:val="FFFFFF" w:themeColor="background1"/>
      </w:rPr>
      <w:tblPr/>
      <w:tcPr>
        <w:tcBorders>
          <w:bottom w:val="single" w:sz="12" w:space="0" w:color="FFFFFF" w:themeColor="background1"/>
        </w:tcBorders>
        <w:shd w:val="clear" w:color="auto" w:fill="F63D00" w:themeFill="accent3" w:themeFillShade="CC"/>
      </w:tcPr>
    </w:tblStylePr>
    <w:tblStylePr w:type="lastRow">
      <w:rPr>
        <w:b/>
        <w:bCs/>
        <w:color w:val="F63D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3FF" w:themeFill="accent4" w:themeFillTint="3F"/>
      </w:tcPr>
    </w:tblStylePr>
    <w:tblStylePr w:type="band1Horz">
      <w:tblPr/>
      <w:tcPr>
        <w:shd w:val="clear" w:color="auto" w:fill="E2E8FF" w:themeFill="accent4" w:themeFillTint="33"/>
      </w:tcPr>
    </w:tblStylePr>
  </w:style>
  <w:style w:type="table" w:styleId="ColourfulListAccent5">
    <w:name w:val="Colorful List Accent 5"/>
    <w:basedOn w:val="TableNormal"/>
    <w:uiPriority w:val="72"/>
    <w:rsid w:val="0035044D"/>
    <w:rPr>
      <w:rFonts w:ascii="Times New Roman" w:hAnsi="Times New Roman" w:cs="Times New Roman"/>
      <w:color w:val="000000" w:themeColor="text1"/>
      <w:sz w:val="24"/>
      <w:szCs w:val="24"/>
      <w:lang w:val="en-GB"/>
    </w:rPr>
    <w:tblPr>
      <w:tblStyleRowBandSize w:val="1"/>
      <w:tblStyleColBandSize w:val="1"/>
    </w:tblPr>
    <w:tcPr>
      <w:shd w:val="clear" w:color="auto" w:fill="ECF8ED" w:themeFill="accent5" w:themeFillTint="19"/>
    </w:tcPr>
    <w:tblStylePr w:type="firstRow">
      <w:rPr>
        <w:b/>
        <w:bCs/>
        <w:color w:val="FFFFFF" w:themeColor="background1"/>
      </w:rPr>
      <w:tblPr/>
      <w:tcPr>
        <w:tcBorders>
          <w:bottom w:val="single" w:sz="12" w:space="0" w:color="FFFFFF" w:themeColor="background1"/>
        </w:tcBorders>
        <w:shd w:val="clear" w:color="auto" w:fill="A9A791" w:themeFill="accent6" w:themeFillShade="CC"/>
      </w:tcPr>
    </w:tblStylePr>
    <w:tblStylePr w:type="lastRow">
      <w:rPr>
        <w:b/>
        <w:bCs/>
        <w:color w:val="A9A79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ED3" w:themeFill="accent5" w:themeFillTint="3F"/>
      </w:tcPr>
    </w:tblStylePr>
    <w:tblStylePr w:type="band1Horz">
      <w:tblPr/>
      <w:tcPr>
        <w:shd w:val="clear" w:color="auto" w:fill="D9F1DB" w:themeFill="accent5" w:themeFillTint="33"/>
      </w:tcPr>
    </w:tblStylePr>
  </w:style>
  <w:style w:type="table" w:styleId="ColourfulListAccent6">
    <w:name w:val="Colorful List Accent 6"/>
    <w:basedOn w:val="TableNormal"/>
    <w:uiPriority w:val="72"/>
    <w:rsid w:val="0035044D"/>
    <w:rPr>
      <w:rFonts w:ascii="Times New Roman" w:hAnsi="Times New Roman" w:cs="Times New Roman"/>
      <w:color w:val="000000" w:themeColor="text1"/>
      <w:sz w:val="24"/>
      <w:szCs w:val="24"/>
      <w:lang w:val="en-GB"/>
    </w:rPr>
    <w:tblPr>
      <w:tblStyleRowBandSize w:val="1"/>
      <w:tblStyleColBandSize w:val="1"/>
    </w:tblPr>
    <w:tcPr>
      <w:shd w:val="clear" w:color="auto" w:fill="FAF9F8" w:themeFill="accent6" w:themeFillTint="19"/>
    </w:tcPr>
    <w:tblStylePr w:type="firstRow">
      <w:rPr>
        <w:b/>
        <w:bCs/>
        <w:color w:val="FFFFFF" w:themeColor="background1"/>
      </w:rPr>
      <w:tblPr/>
      <w:tcPr>
        <w:tcBorders>
          <w:bottom w:val="single" w:sz="12" w:space="0" w:color="FFFFFF" w:themeColor="background1"/>
        </w:tcBorders>
        <w:shd w:val="clear" w:color="auto" w:fill="37963F" w:themeFill="accent5" w:themeFillShade="CC"/>
      </w:tcPr>
    </w:tblStylePr>
    <w:tblStylePr w:type="lastRow">
      <w:rPr>
        <w:b/>
        <w:bCs/>
        <w:color w:val="3796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2EE" w:themeFill="accent6" w:themeFillTint="3F"/>
      </w:tcPr>
    </w:tblStylePr>
    <w:tblStylePr w:type="band1Horz">
      <w:tblPr/>
      <w:tcPr>
        <w:shd w:val="clear" w:color="auto" w:fill="F4F4F1" w:themeFill="accent6" w:themeFillTint="33"/>
      </w:tcPr>
    </w:tblStylePr>
  </w:style>
  <w:style w:type="table" w:styleId="ColourfulShading">
    <w:name w:val="Colorful Shading"/>
    <w:basedOn w:val="TableNormal"/>
    <w:uiPriority w:val="71"/>
    <w:rsid w:val="0035044D"/>
    <w:rPr>
      <w:rFonts w:ascii="Times New Roman" w:hAnsi="Times New Roman" w:cs="Times New Roman"/>
      <w:color w:val="000000" w:themeColor="text1"/>
      <w:sz w:val="24"/>
      <w:szCs w:val="24"/>
      <w:lang w:val="en-GB"/>
    </w:rPr>
    <w:tblPr>
      <w:tblStyleRowBandSize w:val="1"/>
      <w:tblStyleColBandSize w:val="1"/>
      <w:tblBorders>
        <w:top w:val="single" w:sz="24" w:space="0" w:color="CCA44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A4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35044D"/>
    <w:rPr>
      <w:rFonts w:ascii="Times New Roman" w:hAnsi="Times New Roman" w:cs="Times New Roman"/>
      <w:color w:val="000000" w:themeColor="text1"/>
      <w:sz w:val="24"/>
      <w:szCs w:val="24"/>
      <w:lang w:val="en-GB"/>
    </w:rPr>
    <w:tblPr>
      <w:tblStyleRowBandSize w:val="1"/>
      <w:tblStyleColBandSize w:val="1"/>
      <w:tblBorders>
        <w:top w:val="single" w:sz="24" w:space="0" w:color="CCA44F" w:themeColor="accent2"/>
        <w:left w:val="single" w:sz="4" w:space="0" w:color="C38EC0" w:themeColor="accent1"/>
        <w:bottom w:val="single" w:sz="4" w:space="0" w:color="C38EC0" w:themeColor="accent1"/>
        <w:right w:val="single" w:sz="4" w:space="0" w:color="C38EC0" w:themeColor="accent1"/>
        <w:insideH w:val="single" w:sz="4" w:space="0" w:color="FFFFFF" w:themeColor="background1"/>
        <w:insideV w:val="single" w:sz="4" w:space="0" w:color="FFFFFF" w:themeColor="background1"/>
      </w:tblBorders>
    </w:tblPr>
    <w:tcPr>
      <w:shd w:val="clear" w:color="auto" w:fill="F9F3F8" w:themeFill="accent1" w:themeFillTint="19"/>
    </w:tcPr>
    <w:tblStylePr w:type="firstRow">
      <w:rPr>
        <w:b/>
        <w:bCs/>
      </w:rPr>
      <w:tblPr/>
      <w:tcPr>
        <w:tcBorders>
          <w:top w:val="nil"/>
          <w:left w:val="nil"/>
          <w:bottom w:val="single" w:sz="24" w:space="0" w:color="CCA4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4680" w:themeFill="accent1" w:themeFillShade="99"/>
      </w:tcPr>
    </w:tblStylePr>
    <w:tblStylePr w:type="firstCol">
      <w:rPr>
        <w:color w:val="FFFFFF" w:themeColor="background1"/>
      </w:rPr>
      <w:tblPr/>
      <w:tcPr>
        <w:tcBorders>
          <w:top w:val="nil"/>
          <w:left w:val="nil"/>
          <w:bottom w:val="nil"/>
          <w:right w:val="nil"/>
          <w:insideH w:val="single" w:sz="4" w:space="0" w:color="834680" w:themeColor="accent1" w:themeShade="99"/>
          <w:insideV w:val="nil"/>
        </w:tcBorders>
        <w:shd w:val="clear" w:color="auto" w:fill="8346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34680" w:themeFill="accent1" w:themeFillShade="99"/>
      </w:tcPr>
    </w:tblStylePr>
    <w:tblStylePr w:type="band1Vert">
      <w:tblPr/>
      <w:tcPr>
        <w:shd w:val="clear" w:color="auto" w:fill="E7D1E5" w:themeFill="accent1" w:themeFillTint="66"/>
      </w:tcPr>
    </w:tblStylePr>
    <w:tblStylePr w:type="band1Horz">
      <w:tblPr/>
      <w:tcPr>
        <w:shd w:val="clear" w:color="auto" w:fill="E1C6D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35044D"/>
    <w:rPr>
      <w:rFonts w:ascii="Times New Roman" w:hAnsi="Times New Roman" w:cs="Times New Roman"/>
      <w:color w:val="000000" w:themeColor="text1"/>
      <w:sz w:val="24"/>
      <w:szCs w:val="24"/>
      <w:lang w:val="en-GB"/>
    </w:rPr>
    <w:tblPr>
      <w:tblStyleRowBandSize w:val="1"/>
      <w:tblStyleColBandSize w:val="1"/>
      <w:tblBorders>
        <w:top w:val="single" w:sz="24" w:space="0" w:color="CCA44F" w:themeColor="accent2"/>
        <w:left w:val="single" w:sz="4" w:space="0" w:color="CCA44F" w:themeColor="accent2"/>
        <w:bottom w:val="single" w:sz="4" w:space="0" w:color="CCA44F" w:themeColor="accent2"/>
        <w:right w:val="single" w:sz="4" w:space="0" w:color="CCA44F" w:themeColor="accent2"/>
        <w:insideH w:val="single" w:sz="4" w:space="0" w:color="FFFFFF" w:themeColor="background1"/>
        <w:insideV w:val="single" w:sz="4" w:space="0" w:color="FFFFFF" w:themeColor="background1"/>
      </w:tblBorders>
    </w:tblPr>
    <w:tcPr>
      <w:shd w:val="clear" w:color="auto" w:fill="FAF6ED" w:themeFill="accent2" w:themeFillTint="19"/>
    </w:tcPr>
    <w:tblStylePr w:type="firstRow">
      <w:rPr>
        <w:b/>
        <w:bCs/>
      </w:rPr>
      <w:tblPr/>
      <w:tcPr>
        <w:tcBorders>
          <w:top w:val="nil"/>
          <w:left w:val="nil"/>
          <w:bottom w:val="single" w:sz="24" w:space="0" w:color="CCA44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36526" w:themeFill="accent2" w:themeFillShade="99"/>
      </w:tcPr>
    </w:tblStylePr>
    <w:tblStylePr w:type="firstCol">
      <w:rPr>
        <w:color w:val="FFFFFF" w:themeColor="background1"/>
      </w:rPr>
      <w:tblPr/>
      <w:tcPr>
        <w:tcBorders>
          <w:top w:val="nil"/>
          <w:left w:val="nil"/>
          <w:bottom w:val="nil"/>
          <w:right w:val="nil"/>
          <w:insideH w:val="single" w:sz="4" w:space="0" w:color="836526" w:themeColor="accent2" w:themeShade="99"/>
          <w:insideV w:val="nil"/>
        </w:tcBorders>
        <w:shd w:val="clear" w:color="auto" w:fill="8365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36526" w:themeFill="accent2" w:themeFillShade="99"/>
      </w:tcPr>
    </w:tblStylePr>
    <w:tblStylePr w:type="band1Vert">
      <w:tblPr/>
      <w:tcPr>
        <w:shd w:val="clear" w:color="auto" w:fill="EADAB8" w:themeFill="accent2" w:themeFillTint="66"/>
      </w:tcPr>
    </w:tblStylePr>
    <w:tblStylePr w:type="band1Horz">
      <w:tblPr/>
      <w:tcPr>
        <w:shd w:val="clear" w:color="auto" w:fill="E5D1A7"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35044D"/>
    <w:rPr>
      <w:rFonts w:ascii="Times New Roman" w:hAnsi="Times New Roman" w:cs="Times New Roman"/>
      <w:color w:val="000000" w:themeColor="text1"/>
      <w:sz w:val="24"/>
      <w:szCs w:val="24"/>
      <w:lang w:val="en-GB"/>
    </w:rPr>
    <w:tblPr>
      <w:tblStyleRowBandSize w:val="1"/>
      <w:tblStyleColBandSize w:val="1"/>
      <w:tblBorders>
        <w:top w:val="single" w:sz="24" w:space="0" w:color="708FFF" w:themeColor="accent4"/>
        <w:left w:val="single" w:sz="4" w:space="0" w:color="FF6835" w:themeColor="accent3"/>
        <w:bottom w:val="single" w:sz="4" w:space="0" w:color="FF6835" w:themeColor="accent3"/>
        <w:right w:val="single" w:sz="4" w:space="0" w:color="FF6835" w:themeColor="accent3"/>
        <w:insideH w:val="single" w:sz="4" w:space="0" w:color="FFFFFF" w:themeColor="background1"/>
        <w:insideV w:val="single" w:sz="4" w:space="0" w:color="FFFFFF" w:themeColor="background1"/>
      </w:tblBorders>
    </w:tblPr>
    <w:tcPr>
      <w:shd w:val="clear" w:color="auto" w:fill="FFF0EB" w:themeFill="accent3" w:themeFillTint="19"/>
    </w:tcPr>
    <w:tblStylePr w:type="firstRow">
      <w:rPr>
        <w:b/>
        <w:bCs/>
      </w:rPr>
      <w:tblPr/>
      <w:tcPr>
        <w:tcBorders>
          <w:top w:val="nil"/>
          <w:left w:val="nil"/>
          <w:bottom w:val="single" w:sz="24" w:space="0" w:color="708F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2E00" w:themeFill="accent3" w:themeFillShade="99"/>
      </w:tcPr>
    </w:tblStylePr>
    <w:tblStylePr w:type="firstCol">
      <w:rPr>
        <w:color w:val="FFFFFF" w:themeColor="background1"/>
      </w:rPr>
      <w:tblPr/>
      <w:tcPr>
        <w:tcBorders>
          <w:top w:val="nil"/>
          <w:left w:val="nil"/>
          <w:bottom w:val="nil"/>
          <w:right w:val="nil"/>
          <w:insideH w:val="single" w:sz="4" w:space="0" w:color="B82E00" w:themeColor="accent3" w:themeShade="99"/>
          <w:insideV w:val="nil"/>
        </w:tcBorders>
        <w:shd w:val="clear" w:color="auto" w:fill="B82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82E00" w:themeFill="accent3" w:themeFillShade="99"/>
      </w:tcPr>
    </w:tblStylePr>
    <w:tblStylePr w:type="band1Vert">
      <w:tblPr/>
      <w:tcPr>
        <w:shd w:val="clear" w:color="auto" w:fill="FFC2AE" w:themeFill="accent3" w:themeFillTint="66"/>
      </w:tcPr>
    </w:tblStylePr>
    <w:tblStylePr w:type="band1Horz">
      <w:tblPr/>
      <w:tcPr>
        <w:shd w:val="clear" w:color="auto" w:fill="FFB39A" w:themeFill="accent3" w:themeFillTint="7F"/>
      </w:tcPr>
    </w:tblStylePr>
  </w:style>
  <w:style w:type="table" w:styleId="ColourfulShadingAccent4">
    <w:name w:val="Colorful Shading Accent 4"/>
    <w:basedOn w:val="TableNormal"/>
    <w:uiPriority w:val="71"/>
    <w:rsid w:val="0035044D"/>
    <w:rPr>
      <w:rFonts w:ascii="Times New Roman" w:hAnsi="Times New Roman" w:cs="Times New Roman"/>
      <w:color w:val="000000" w:themeColor="text1"/>
      <w:sz w:val="24"/>
      <w:szCs w:val="24"/>
      <w:lang w:val="en-GB"/>
    </w:rPr>
    <w:tblPr>
      <w:tblStyleRowBandSize w:val="1"/>
      <w:tblStyleColBandSize w:val="1"/>
      <w:tblBorders>
        <w:top w:val="single" w:sz="24" w:space="0" w:color="FF6835" w:themeColor="accent3"/>
        <w:left w:val="single" w:sz="4" w:space="0" w:color="708FFF" w:themeColor="accent4"/>
        <w:bottom w:val="single" w:sz="4" w:space="0" w:color="708FFF" w:themeColor="accent4"/>
        <w:right w:val="single" w:sz="4" w:space="0" w:color="708FFF" w:themeColor="accent4"/>
        <w:insideH w:val="single" w:sz="4" w:space="0" w:color="FFFFFF" w:themeColor="background1"/>
        <w:insideV w:val="single" w:sz="4" w:space="0" w:color="FFFFFF" w:themeColor="background1"/>
      </w:tblBorders>
    </w:tblPr>
    <w:tcPr>
      <w:shd w:val="clear" w:color="auto" w:fill="F0F3FF" w:themeFill="accent4" w:themeFillTint="19"/>
    </w:tcPr>
    <w:tblStylePr w:type="firstRow">
      <w:rPr>
        <w:b/>
        <w:bCs/>
      </w:rPr>
      <w:tblPr/>
      <w:tcPr>
        <w:tcBorders>
          <w:top w:val="nil"/>
          <w:left w:val="nil"/>
          <w:bottom w:val="single" w:sz="24" w:space="0" w:color="FF68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FDC" w:themeFill="accent4" w:themeFillShade="99"/>
      </w:tcPr>
    </w:tblStylePr>
    <w:tblStylePr w:type="firstCol">
      <w:rPr>
        <w:color w:val="FFFFFF" w:themeColor="background1"/>
      </w:rPr>
      <w:tblPr/>
      <w:tcPr>
        <w:tcBorders>
          <w:top w:val="nil"/>
          <w:left w:val="nil"/>
          <w:bottom w:val="nil"/>
          <w:right w:val="nil"/>
          <w:insideH w:val="single" w:sz="4" w:space="0" w:color="002FDC" w:themeColor="accent4" w:themeShade="99"/>
          <w:insideV w:val="nil"/>
        </w:tcBorders>
        <w:shd w:val="clear" w:color="auto" w:fill="002FD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FDC" w:themeFill="accent4" w:themeFillShade="99"/>
      </w:tcPr>
    </w:tblStylePr>
    <w:tblStylePr w:type="band1Vert">
      <w:tblPr/>
      <w:tcPr>
        <w:shd w:val="clear" w:color="auto" w:fill="C5D2FF" w:themeFill="accent4" w:themeFillTint="66"/>
      </w:tcPr>
    </w:tblStylePr>
    <w:tblStylePr w:type="band1Horz">
      <w:tblPr/>
      <w:tcPr>
        <w:shd w:val="clear" w:color="auto" w:fill="B7C7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35044D"/>
    <w:rPr>
      <w:rFonts w:ascii="Times New Roman" w:hAnsi="Times New Roman" w:cs="Times New Roman"/>
      <w:color w:val="000000" w:themeColor="text1"/>
      <w:sz w:val="24"/>
      <w:szCs w:val="24"/>
      <w:lang w:val="en-GB"/>
    </w:rPr>
    <w:tblPr>
      <w:tblStyleRowBandSize w:val="1"/>
      <w:tblStyleColBandSize w:val="1"/>
      <w:tblBorders>
        <w:top w:val="single" w:sz="24" w:space="0" w:color="CCCBBE" w:themeColor="accent6"/>
        <w:left w:val="single" w:sz="4" w:space="0" w:color="46BB51" w:themeColor="accent5"/>
        <w:bottom w:val="single" w:sz="4" w:space="0" w:color="46BB51" w:themeColor="accent5"/>
        <w:right w:val="single" w:sz="4" w:space="0" w:color="46BB51" w:themeColor="accent5"/>
        <w:insideH w:val="single" w:sz="4" w:space="0" w:color="FFFFFF" w:themeColor="background1"/>
        <w:insideV w:val="single" w:sz="4" w:space="0" w:color="FFFFFF" w:themeColor="background1"/>
      </w:tblBorders>
    </w:tblPr>
    <w:tcPr>
      <w:shd w:val="clear" w:color="auto" w:fill="ECF8ED" w:themeFill="accent5" w:themeFillTint="19"/>
    </w:tcPr>
    <w:tblStylePr w:type="firstRow">
      <w:rPr>
        <w:b/>
        <w:bCs/>
      </w:rPr>
      <w:tblPr/>
      <w:tcPr>
        <w:tcBorders>
          <w:top w:val="nil"/>
          <w:left w:val="nil"/>
          <w:bottom w:val="single" w:sz="24" w:space="0" w:color="CCCBB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702F" w:themeFill="accent5" w:themeFillShade="99"/>
      </w:tcPr>
    </w:tblStylePr>
    <w:tblStylePr w:type="firstCol">
      <w:rPr>
        <w:color w:val="FFFFFF" w:themeColor="background1"/>
      </w:rPr>
      <w:tblPr/>
      <w:tcPr>
        <w:tcBorders>
          <w:top w:val="nil"/>
          <w:left w:val="nil"/>
          <w:bottom w:val="nil"/>
          <w:right w:val="nil"/>
          <w:insideH w:val="single" w:sz="4" w:space="0" w:color="29702F" w:themeColor="accent5" w:themeShade="99"/>
          <w:insideV w:val="nil"/>
        </w:tcBorders>
        <w:shd w:val="clear" w:color="auto" w:fill="2970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9702F" w:themeFill="accent5" w:themeFillShade="99"/>
      </w:tcPr>
    </w:tblStylePr>
    <w:tblStylePr w:type="band1Vert">
      <w:tblPr/>
      <w:tcPr>
        <w:shd w:val="clear" w:color="auto" w:fill="B4E3B9" w:themeFill="accent5" w:themeFillTint="66"/>
      </w:tcPr>
    </w:tblStylePr>
    <w:tblStylePr w:type="band1Horz">
      <w:tblPr/>
      <w:tcPr>
        <w:shd w:val="clear" w:color="auto" w:fill="A2DDA7"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35044D"/>
    <w:rPr>
      <w:rFonts w:ascii="Times New Roman" w:hAnsi="Times New Roman" w:cs="Times New Roman"/>
      <w:color w:val="000000" w:themeColor="text1"/>
      <w:sz w:val="24"/>
      <w:szCs w:val="24"/>
      <w:lang w:val="en-GB"/>
    </w:rPr>
    <w:tblPr>
      <w:tblStyleRowBandSize w:val="1"/>
      <w:tblStyleColBandSize w:val="1"/>
      <w:tblBorders>
        <w:top w:val="single" w:sz="24" w:space="0" w:color="46BB51" w:themeColor="accent5"/>
        <w:left w:val="single" w:sz="4" w:space="0" w:color="CCCBBE" w:themeColor="accent6"/>
        <w:bottom w:val="single" w:sz="4" w:space="0" w:color="CCCBBE" w:themeColor="accent6"/>
        <w:right w:val="single" w:sz="4" w:space="0" w:color="CCCBBE" w:themeColor="accent6"/>
        <w:insideH w:val="single" w:sz="4" w:space="0" w:color="FFFFFF" w:themeColor="background1"/>
        <w:insideV w:val="single" w:sz="4" w:space="0" w:color="FFFFFF" w:themeColor="background1"/>
      </w:tblBorders>
    </w:tblPr>
    <w:tcPr>
      <w:shd w:val="clear" w:color="auto" w:fill="FAF9F8" w:themeFill="accent6" w:themeFillTint="19"/>
    </w:tcPr>
    <w:tblStylePr w:type="firstRow">
      <w:rPr>
        <w:b/>
        <w:bCs/>
      </w:rPr>
      <w:tblPr/>
      <w:tcPr>
        <w:tcBorders>
          <w:top w:val="nil"/>
          <w:left w:val="nil"/>
          <w:bottom w:val="single" w:sz="24" w:space="0" w:color="46BB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268" w:themeFill="accent6" w:themeFillShade="99"/>
      </w:tcPr>
    </w:tblStylePr>
    <w:tblStylePr w:type="firstCol">
      <w:rPr>
        <w:color w:val="FFFFFF" w:themeColor="background1"/>
      </w:rPr>
      <w:tblPr/>
      <w:tcPr>
        <w:tcBorders>
          <w:top w:val="nil"/>
          <w:left w:val="nil"/>
          <w:bottom w:val="nil"/>
          <w:right w:val="nil"/>
          <w:insideH w:val="single" w:sz="4" w:space="0" w:color="848268" w:themeColor="accent6" w:themeShade="99"/>
          <w:insideV w:val="nil"/>
        </w:tcBorders>
        <w:shd w:val="clear" w:color="auto" w:fill="84826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48268" w:themeFill="accent6" w:themeFillShade="99"/>
      </w:tcPr>
    </w:tblStylePr>
    <w:tblStylePr w:type="band1Vert">
      <w:tblPr/>
      <w:tcPr>
        <w:shd w:val="clear" w:color="auto" w:fill="EAEAE4" w:themeFill="accent6" w:themeFillTint="66"/>
      </w:tcPr>
    </w:tblStylePr>
    <w:tblStylePr w:type="band1Horz">
      <w:tblPr/>
      <w:tcPr>
        <w:shd w:val="clear" w:color="auto" w:fill="E5E4D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5044D"/>
    <w:rPr>
      <w:sz w:val="16"/>
      <w:szCs w:val="16"/>
      <w:lang w:val="en-GB"/>
    </w:rPr>
  </w:style>
  <w:style w:type="paragraph" w:styleId="CommentText">
    <w:name w:val="annotation text"/>
    <w:basedOn w:val="Normal"/>
    <w:link w:val="CommentTextChar"/>
    <w:uiPriority w:val="99"/>
    <w:semiHidden/>
    <w:rsid w:val="0035044D"/>
  </w:style>
  <w:style w:type="character" w:customStyle="1" w:styleId="CommentTextChar">
    <w:name w:val="Comment Text Char"/>
    <w:basedOn w:val="DefaultParagraphFont"/>
    <w:link w:val="CommentText"/>
    <w:uiPriority w:val="99"/>
    <w:semiHidden/>
    <w:rsid w:val="0035044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35044D"/>
    <w:rPr>
      <w:b/>
      <w:bCs/>
    </w:rPr>
  </w:style>
  <w:style w:type="character" w:customStyle="1" w:styleId="CommentSubjectChar">
    <w:name w:val="Comment Subject Char"/>
    <w:basedOn w:val="CommentTextChar"/>
    <w:link w:val="CommentSubject"/>
    <w:uiPriority w:val="99"/>
    <w:semiHidden/>
    <w:rsid w:val="0035044D"/>
    <w:rPr>
      <w:rFonts w:ascii="Times New Roman" w:eastAsia="Times New Roman" w:hAnsi="Times New Roman" w:cs="Times New Roman"/>
      <w:b/>
      <w:bCs/>
      <w:sz w:val="20"/>
      <w:szCs w:val="20"/>
      <w:lang w:val="en-GB"/>
    </w:rPr>
  </w:style>
  <w:style w:type="table" w:styleId="DarkList">
    <w:name w:val="Dark List"/>
    <w:basedOn w:val="TableNormal"/>
    <w:uiPriority w:val="70"/>
    <w:rsid w:val="0035044D"/>
    <w:rPr>
      <w:rFonts w:ascii="Times New Roman" w:hAnsi="Times New Roman" w:cs="Times New Roman"/>
      <w:color w:val="FFFFFF" w:themeColor="background1"/>
      <w:sz w:val="24"/>
      <w:szCs w:val="24"/>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5044D"/>
    <w:rPr>
      <w:rFonts w:ascii="Times New Roman" w:hAnsi="Times New Roman" w:cs="Times New Roman"/>
      <w:color w:val="FFFFFF" w:themeColor="background1"/>
      <w:sz w:val="24"/>
      <w:szCs w:val="24"/>
      <w:lang w:val="en-GB"/>
    </w:rPr>
    <w:tblPr>
      <w:tblStyleRowBandSize w:val="1"/>
      <w:tblStyleColBandSize w:val="1"/>
    </w:tblPr>
    <w:tcPr>
      <w:shd w:val="clear" w:color="auto" w:fill="C38E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3A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457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457A0" w:themeFill="accent1" w:themeFillShade="BF"/>
      </w:tcPr>
    </w:tblStylePr>
    <w:tblStylePr w:type="band1Vert">
      <w:tblPr/>
      <w:tcPr>
        <w:tcBorders>
          <w:top w:val="nil"/>
          <w:left w:val="nil"/>
          <w:bottom w:val="nil"/>
          <w:right w:val="nil"/>
          <w:insideH w:val="nil"/>
          <w:insideV w:val="nil"/>
        </w:tcBorders>
        <w:shd w:val="clear" w:color="auto" w:fill="A457A0" w:themeFill="accent1" w:themeFillShade="BF"/>
      </w:tcPr>
    </w:tblStylePr>
    <w:tblStylePr w:type="band1Horz">
      <w:tblPr/>
      <w:tcPr>
        <w:tcBorders>
          <w:top w:val="nil"/>
          <w:left w:val="nil"/>
          <w:bottom w:val="nil"/>
          <w:right w:val="nil"/>
          <w:insideH w:val="nil"/>
          <w:insideV w:val="nil"/>
        </w:tcBorders>
        <w:shd w:val="clear" w:color="auto" w:fill="A457A0" w:themeFill="accent1" w:themeFillShade="BF"/>
      </w:tcPr>
    </w:tblStylePr>
  </w:style>
  <w:style w:type="table" w:styleId="DarkList-Accent2">
    <w:name w:val="Dark List Accent 2"/>
    <w:basedOn w:val="TableNormal"/>
    <w:uiPriority w:val="70"/>
    <w:rsid w:val="0035044D"/>
    <w:rPr>
      <w:rFonts w:ascii="Times New Roman" w:hAnsi="Times New Roman" w:cs="Times New Roman"/>
      <w:color w:val="FFFFFF" w:themeColor="background1"/>
      <w:sz w:val="24"/>
      <w:szCs w:val="24"/>
      <w:lang w:val="en-GB"/>
    </w:rPr>
    <w:tblPr>
      <w:tblStyleRowBandSize w:val="1"/>
      <w:tblStyleColBandSize w:val="1"/>
    </w:tblPr>
    <w:tcPr>
      <w:shd w:val="clear" w:color="auto" w:fill="CCA44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54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47E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47E2F" w:themeFill="accent2" w:themeFillShade="BF"/>
      </w:tcPr>
    </w:tblStylePr>
    <w:tblStylePr w:type="band1Vert">
      <w:tblPr/>
      <w:tcPr>
        <w:tcBorders>
          <w:top w:val="nil"/>
          <w:left w:val="nil"/>
          <w:bottom w:val="nil"/>
          <w:right w:val="nil"/>
          <w:insideH w:val="nil"/>
          <w:insideV w:val="nil"/>
        </w:tcBorders>
        <w:shd w:val="clear" w:color="auto" w:fill="A47E2F" w:themeFill="accent2" w:themeFillShade="BF"/>
      </w:tcPr>
    </w:tblStylePr>
    <w:tblStylePr w:type="band1Horz">
      <w:tblPr/>
      <w:tcPr>
        <w:tcBorders>
          <w:top w:val="nil"/>
          <w:left w:val="nil"/>
          <w:bottom w:val="nil"/>
          <w:right w:val="nil"/>
          <w:insideH w:val="nil"/>
          <w:insideV w:val="nil"/>
        </w:tcBorders>
        <w:shd w:val="clear" w:color="auto" w:fill="A47E2F" w:themeFill="accent2" w:themeFillShade="BF"/>
      </w:tcPr>
    </w:tblStylePr>
  </w:style>
  <w:style w:type="table" w:styleId="DarkList-Accent3">
    <w:name w:val="Dark List Accent 3"/>
    <w:basedOn w:val="TableNormal"/>
    <w:uiPriority w:val="70"/>
    <w:rsid w:val="0035044D"/>
    <w:rPr>
      <w:rFonts w:ascii="Times New Roman" w:hAnsi="Times New Roman" w:cs="Times New Roman"/>
      <w:color w:val="FFFFFF" w:themeColor="background1"/>
      <w:sz w:val="24"/>
      <w:szCs w:val="24"/>
      <w:lang w:val="en-GB"/>
    </w:rPr>
    <w:tblPr>
      <w:tblStyleRowBandSize w:val="1"/>
      <w:tblStyleColBandSize w:val="1"/>
    </w:tblPr>
    <w:tcPr>
      <w:shd w:val="clear" w:color="auto" w:fill="FF68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26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63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63900" w:themeFill="accent3" w:themeFillShade="BF"/>
      </w:tcPr>
    </w:tblStylePr>
    <w:tblStylePr w:type="band1Vert">
      <w:tblPr/>
      <w:tcPr>
        <w:tcBorders>
          <w:top w:val="nil"/>
          <w:left w:val="nil"/>
          <w:bottom w:val="nil"/>
          <w:right w:val="nil"/>
          <w:insideH w:val="nil"/>
          <w:insideV w:val="nil"/>
        </w:tcBorders>
        <w:shd w:val="clear" w:color="auto" w:fill="E63900" w:themeFill="accent3" w:themeFillShade="BF"/>
      </w:tcPr>
    </w:tblStylePr>
    <w:tblStylePr w:type="band1Horz">
      <w:tblPr/>
      <w:tcPr>
        <w:tcBorders>
          <w:top w:val="nil"/>
          <w:left w:val="nil"/>
          <w:bottom w:val="nil"/>
          <w:right w:val="nil"/>
          <w:insideH w:val="nil"/>
          <w:insideV w:val="nil"/>
        </w:tcBorders>
        <w:shd w:val="clear" w:color="auto" w:fill="E63900" w:themeFill="accent3" w:themeFillShade="BF"/>
      </w:tcPr>
    </w:tblStylePr>
  </w:style>
  <w:style w:type="table" w:styleId="DarkList-Accent4">
    <w:name w:val="Dark List Accent 4"/>
    <w:basedOn w:val="TableNormal"/>
    <w:uiPriority w:val="70"/>
    <w:rsid w:val="0035044D"/>
    <w:rPr>
      <w:rFonts w:ascii="Times New Roman" w:hAnsi="Times New Roman" w:cs="Times New Roman"/>
      <w:color w:val="FFFFFF" w:themeColor="background1"/>
      <w:sz w:val="24"/>
      <w:szCs w:val="24"/>
      <w:lang w:val="en-GB"/>
    </w:rPr>
    <w:tblPr>
      <w:tblStyleRowBandSize w:val="1"/>
      <w:tblStyleColBandSize w:val="1"/>
    </w:tblPr>
    <w:tcPr>
      <w:shd w:val="clear" w:color="auto" w:fill="708F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7B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346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346FF" w:themeFill="accent4" w:themeFillShade="BF"/>
      </w:tcPr>
    </w:tblStylePr>
    <w:tblStylePr w:type="band1Vert">
      <w:tblPr/>
      <w:tcPr>
        <w:tcBorders>
          <w:top w:val="nil"/>
          <w:left w:val="nil"/>
          <w:bottom w:val="nil"/>
          <w:right w:val="nil"/>
          <w:insideH w:val="nil"/>
          <w:insideV w:val="nil"/>
        </w:tcBorders>
        <w:shd w:val="clear" w:color="auto" w:fill="1346FF" w:themeFill="accent4" w:themeFillShade="BF"/>
      </w:tcPr>
    </w:tblStylePr>
    <w:tblStylePr w:type="band1Horz">
      <w:tblPr/>
      <w:tcPr>
        <w:tcBorders>
          <w:top w:val="nil"/>
          <w:left w:val="nil"/>
          <w:bottom w:val="nil"/>
          <w:right w:val="nil"/>
          <w:insideH w:val="nil"/>
          <w:insideV w:val="nil"/>
        </w:tcBorders>
        <w:shd w:val="clear" w:color="auto" w:fill="1346FF" w:themeFill="accent4" w:themeFillShade="BF"/>
      </w:tcPr>
    </w:tblStylePr>
  </w:style>
  <w:style w:type="table" w:styleId="DarkList-Accent5">
    <w:name w:val="Dark List Accent 5"/>
    <w:basedOn w:val="TableNormal"/>
    <w:uiPriority w:val="70"/>
    <w:rsid w:val="0035044D"/>
    <w:rPr>
      <w:rFonts w:ascii="Times New Roman" w:hAnsi="Times New Roman" w:cs="Times New Roman"/>
      <w:color w:val="FFFFFF" w:themeColor="background1"/>
      <w:sz w:val="24"/>
      <w:szCs w:val="24"/>
      <w:lang w:val="en-GB"/>
    </w:rPr>
    <w:tblPr>
      <w:tblStyleRowBandSize w:val="1"/>
      <w:tblStyleColBandSize w:val="1"/>
    </w:tblPr>
    <w:tcPr>
      <w:shd w:val="clear" w:color="auto" w:fill="46BB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5D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38C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38C3B" w:themeFill="accent5" w:themeFillShade="BF"/>
      </w:tcPr>
    </w:tblStylePr>
    <w:tblStylePr w:type="band1Vert">
      <w:tblPr/>
      <w:tcPr>
        <w:tcBorders>
          <w:top w:val="nil"/>
          <w:left w:val="nil"/>
          <w:bottom w:val="nil"/>
          <w:right w:val="nil"/>
          <w:insideH w:val="nil"/>
          <w:insideV w:val="nil"/>
        </w:tcBorders>
        <w:shd w:val="clear" w:color="auto" w:fill="338C3B" w:themeFill="accent5" w:themeFillShade="BF"/>
      </w:tcPr>
    </w:tblStylePr>
    <w:tblStylePr w:type="band1Horz">
      <w:tblPr/>
      <w:tcPr>
        <w:tcBorders>
          <w:top w:val="nil"/>
          <w:left w:val="nil"/>
          <w:bottom w:val="nil"/>
          <w:right w:val="nil"/>
          <w:insideH w:val="nil"/>
          <w:insideV w:val="nil"/>
        </w:tcBorders>
        <w:shd w:val="clear" w:color="auto" w:fill="338C3B" w:themeFill="accent5" w:themeFillShade="BF"/>
      </w:tcPr>
    </w:tblStylePr>
  </w:style>
  <w:style w:type="table" w:styleId="DarkList-Accent6">
    <w:name w:val="Dark List Accent 6"/>
    <w:basedOn w:val="TableNormal"/>
    <w:uiPriority w:val="70"/>
    <w:rsid w:val="0035044D"/>
    <w:rPr>
      <w:rFonts w:ascii="Times New Roman" w:hAnsi="Times New Roman" w:cs="Times New Roman"/>
      <w:color w:val="FFFFFF" w:themeColor="background1"/>
      <w:sz w:val="24"/>
      <w:szCs w:val="24"/>
      <w:lang w:val="en-GB"/>
    </w:rPr>
    <w:tblPr>
      <w:tblStyleRowBandSize w:val="1"/>
      <w:tblStyleColBandSize w:val="1"/>
    </w:tblPr>
    <w:tcPr>
      <w:shd w:val="clear" w:color="auto" w:fill="CCCBB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D6B5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09E8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09E86" w:themeFill="accent6" w:themeFillShade="BF"/>
      </w:tcPr>
    </w:tblStylePr>
    <w:tblStylePr w:type="band1Vert">
      <w:tblPr/>
      <w:tcPr>
        <w:tcBorders>
          <w:top w:val="nil"/>
          <w:left w:val="nil"/>
          <w:bottom w:val="nil"/>
          <w:right w:val="nil"/>
          <w:insideH w:val="nil"/>
          <w:insideV w:val="nil"/>
        </w:tcBorders>
        <w:shd w:val="clear" w:color="auto" w:fill="A09E86" w:themeFill="accent6" w:themeFillShade="BF"/>
      </w:tcPr>
    </w:tblStylePr>
    <w:tblStylePr w:type="band1Horz">
      <w:tblPr/>
      <w:tcPr>
        <w:tcBorders>
          <w:top w:val="nil"/>
          <w:left w:val="nil"/>
          <w:bottom w:val="nil"/>
          <w:right w:val="nil"/>
          <w:insideH w:val="nil"/>
          <w:insideV w:val="nil"/>
        </w:tcBorders>
        <w:shd w:val="clear" w:color="auto" w:fill="A09E86" w:themeFill="accent6" w:themeFillShade="BF"/>
      </w:tcPr>
    </w:tblStylePr>
  </w:style>
  <w:style w:type="paragraph" w:styleId="DocumentMap">
    <w:name w:val="Document Map"/>
    <w:basedOn w:val="Normal"/>
    <w:link w:val="DocumentMapChar"/>
    <w:uiPriority w:val="99"/>
    <w:semiHidden/>
    <w:rsid w:val="0035044D"/>
    <w:rPr>
      <w:rFonts w:ascii="Tahoma" w:hAnsi="Tahoma" w:cs="Tahoma"/>
      <w:sz w:val="16"/>
      <w:szCs w:val="16"/>
    </w:rPr>
  </w:style>
  <w:style w:type="character" w:customStyle="1" w:styleId="DocumentMapChar">
    <w:name w:val="Document Map Char"/>
    <w:basedOn w:val="DefaultParagraphFont"/>
    <w:link w:val="DocumentMap"/>
    <w:uiPriority w:val="99"/>
    <w:semiHidden/>
    <w:rsid w:val="0035044D"/>
    <w:rPr>
      <w:rFonts w:ascii="Tahoma" w:eastAsia="Times New Roman" w:hAnsi="Tahoma" w:cs="Tahoma"/>
      <w:sz w:val="16"/>
      <w:szCs w:val="16"/>
      <w:lang w:val="en-GB"/>
    </w:rPr>
  </w:style>
  <w:style w:type="paragraph" w:styleId="EmailSignature">
    <w:name w:val="E-mail Signature"/>
    <w:basedOn w:val="Normal"/>
    <w:link w:val="EmailSignatureChar"/>
    <w:uiPriority w:val="99"/>
    <w:semiHidden/>
    <w:rsid w:val="0035044D"/>
  </w:style>
  <w:style w:type="character" w:customStyle="1" w:styleId="EmailSignatureChar">
    <w:name w:val="Email Signature Char"/>
    <w:basedOn w:val="DefaultParagraphFont"/>
    <w:link w:val="EmailSignature"/>
    <w:uiPriority w:val="99"/>
    <w:semiHidden/>
    <w:rsid w:val="0035044D"/>
    <w:rPr>
      <w:rFonts w:ascii="Times New Roman" w:eastAsia="Times New Roman" w:hAnsi="Times New Roman" w:cs="Times New Roman"/>
      <w:sz w:val="24"/>
      <w:szCs w:val="24"/>
      <w:lang w:val="en-GB"/>
    </w:rPr>
  </w:style>
  <w:style w:type="character" w:styleId="EndnoteReference">
    <w:name w:val="endnote reference"/>
    <w:basedOn w:val="DefaultParagraphFont"/>
    <w:uiPriority w:val="99"/>
    <w:semiHidden/>
    <w:rsid w:val="0035044D"/>
    <w:rPr>
      <w:vertAlign w:val="superscript"/>
      <w:lang w:val="en-GB"/>
    </w:rPr>
  </w:style>
  <w:style w:type="paragraph" w:styleId="EndnoteText">
    <w:name w:val="endnote text"/>
    <w:basedOn w:val="Normal"/>
    <w:link w:val="EndnoteTextChar"/>
    <w:uiPriority w:val="99"/>
    <w:semiHidden/>
    <w:rsid w:val="0035044D"/>
  </w:style>
  <w:style w:type="character" w:customStyle="1" w:styleId="EndnoteTextChar">
    <w:name w:val="Endnote Text Char"/>
    <w:basedOn w:val="DefaultParagraphFont"/>
    <w:link w:val="EndnoteText"/>
    <w:uiPriority w:val="99"/>
    <w:semiHidden/>
    <w:rsid w:val="0035044D"/>
    <w:rPr>
      <w:rFonts w:ascii="Times New Roman" w:eastAsia="Times New Roman" w:hAnsi="Times New Roman" w:cs="Times New Roman"/>
      <w:sz w:val="20"/>
      <w:szCs w:val="20"/>
      <w:lang w:val="en-GB"/>
    </w:rPr>
  </w:style>
  <w:style w:type="paragraph" w:styleId="EnvelopeAddress">
    <w:name w:val="envelope address"/>
    <w:basedOn w:val="Normal"/>
    <w:uiPriority w:val="99"/>
    <w:semiHidden/>
    <w:rsid w:val="0035044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rsid w:val="0035044D"/>
    <w:rPr>
      <w:rFonts w:asciiTheme="majorHAnsi" w:eastAsiaTheme="majorEastAsia" w:hAnsiTheme="majorHAnsi" w:cstheme="majorBidi"/>
    </w:rPr>
  </w:style>
  <w:style w:type="character" w:styleId="FollowedHyperlink">
    <w:name w:val="FollowedHyperlink"/>
    <w:basedOn w:val="DefaultParagraphFont"/>
    <w:uiPriority w:val="99"/>
    <w:semiHidden/>
    <w:rsid w:val="008C37D6"/>
    <w:rPr>
      <w:color w:val="000000" w:themeColor="followedHyperlink"/>
      <w:u w:val="single"/>
      <w:lang w:val="en-GB"/>
    </w:rPr>
  </w:style>
  <w:style w:type="character" w:styleId="HTMLAcronym">
    <w:name w:val="HTML Acronym"/>
    <w:basedOn w:val="DefaultParagraphFont"/>
    <w:uiPriority w:val="99"/>
    <w:semiHidden/>
    <w:rsid w:val="0035044D"/>
    <w:rPr>
      <w:lang w:val="en-GB"/>
    </w:rPr>
  </w:style>
  <w:style w:type="paragraph" w:styleId="HTMLAddress">
    <w:name w:val="HTML Address"/>
    <w:basedOn w:val="Normal"/>
    <w:link w:val="HTMLAddressChar"/>
    <w:uiPriority w:val="99"/>
    <w:semiHidden/>
    <w:rsid w:val="0035044D"/>
    <w:rPr>
      <w:i/>
      <w:iCs/>
    </w:rPr>
  </w:style>
  <w:style w:type="character" w:customStyle="1" w:styleId="HTMLAddressChar">
    <w:name w:val="HTML Address Char"/>
    <w:basedOn w:val="DefaultParagraphFont"/>
    <w:link w:val="HTMLAddress"/>
    <w:uiPriority w:val="99"/>
    <w:semiHidden/>
    <w:rsid w:val="0035044D"/>
    <w:rPr>
      <w:rFonts w:ascii="Times New Roman" w:eastAsia="Times New Roman" w:hAnsi="Times New Roman" w:cs="Times New Roman"/>
      <w:i/>
      <w:iCs/>
      <w:sz w:val="24"/>
      <w:szCs w:val="24"/>
      <w:lang w:val="en-GB"/>
    </w:rPr>
  </w:style>
  <w:style w:type="character" w:styleId="HTMLCite">
    <w:name w:val="HTML Cite"/>
    <w:basedOn w:val="DefaultParagraphFont"/>
    <w:uiPriority w:val="99"/>
    <w:semiHidden/>
    <w:rsid w:val="0035044D"/>
    <w:rPr>
      <w:i/>
      <w:iCs/>
      <w:lang w:val="en-GB"/>
    </w:rPr>
  </w:style>
  <w:style w:type="character" w:styleId="HTMLCode">
    <w:name w:val="HTML Code"/>
    <w:basedOn w:val="DefaultParagraphFont"/>
    <w:uiPriority w:val="99"/>
    <w:semiHidden/>
    <w:rsid w:val="0035044D"/>
    <w:rPr>
      <w:rFonts w:ascii="Consolas" w:hAnsi="Consolas" w:cs="Consolas"/>
      <w:sz w:val="20"/>
      <w:szCs w:val="20"/>
      <w:lang w:val="en-GB"/>
    </w:rPr>
  </w:style>
  <w:style w:type="character" w:styleId="HTMLDefinition">
    <w:name w:val="HTML Definition"/>
    <w:basedOn w:val="DefaultParagraphFont"/>
    <w:uiPriority w:val="99"/>
    <w:semiHidden/>
    <w:rsid w:val="0035044D"/>
    <w:rPr>
      <w:i/>
      <w:iCs/>
      <w:lang w:val="en-GB"/>
    </w:rPr>
  </w:style>
  <w:style w:type="character" w:styleId="HTMLKeyboard">
    <w:name w:val="HTML Keyboard"/>
    <w:basedOn w:val="DefaultParagraphFont"/>
    <w:uiPriority w:val="99"/>
    <w:semiHidden/>
    <w:rsid w:val="0035044D"/>
    <w:rPr>
      <w:rFonts w:ascii="Consolas" w:hAnsi="Consolas" w:cs="Consolas"/>
      <w:sz w:val="20"/>
      <w:szCs w:val="20"/>
      <w:lang w:val="en-GB"/>
    </w:rPr>
  </w:style>
  <w:style w:type="paragraph" w:styleId="HTMLPreformatted">
    <w:name w:val="HTML Preformatted"/>
    <w:basedOn w:val="Normal"/>
    <w:link w:val="HTMLPreformattedChar"/>
    <w:uiPriority w:val="99"/>
    <w:semiHidden/>
    <w:rsid w:val="0035044D"/>
    <w:rPr>
      <w:rFonts w:ascii="Consolas" w:hAnsi="Consolas" w:cs="Consolas"/>
    </w:rPr>
  </w:style>
  <w:style w:type="character" w:customStyle="1" w:styleId="HTMLPreformattedChar">
    <w:name w:val="HTML Preformatted Char"/>
    <w:basedOn w:val="DefaultParagraphFont"/>
    <w:link w:val="HTMLPreformatted"/>
    <w:uiPriority w:val="99"/>
    <w:semiHidden/>
    <w:rsid w:val="0035044D"/>
    <w:rPr>
      <w:rFonts w:ascii="Consolas" w:eastAsia="Times New Roman" w:hAnsi="Consolas" w:cs="Consolas"/>
      <w:sz w:val="20"/>
      <w:szCs w:val="20"/>
      <w:lang w:val="en-GB"/>
    </w:rPr>
  </w:style>
  <w:style w:type="character" w:styleId="HTMLSample">
    <w:name w:val="HTML Sample"/>
    <w:basedOn w:val="DefaultParagraphFont"/>
    <w:uiPriority w:val="99"/>
    <w:semiHidden/>
    <w:rsid w:val="0035044D"/>
    <w:rPr>
      <w:rFonts w:ascii="Consolas" w:hAnsi="Consolas" w:cs="Consolas"/>
      <w:sz w:val="24"/>
      <w:szCs w:val="24"/>
      <w:lang w:val="en-GB"/>
    </w:rPr>
  </w:style>
  <w:style w:type="character" w:styleId="HTMLTypewriter">
    <w:name w:val="HTML Typewriter"/>
    <w:basedOn w:val="DefaultParagraphFont"/>
    <w:uiPriority w:val="99"/>
    <w:semiHidden/>
    <w:rsid w:val="0035044D"/>
    <w:rPr>
      <w:rFonts w:ascii="Consolas" w:hAnsi="Consolas" w:cs="Consolas"/>
      <w:sz w:val="20"/>
      <w:szCs w:val="20"/>
      <w:lang w:val="en-GB"/>
    </w:rPr>
  </w:style>
  <w:style w:type="character" w:styleId="HTMLVariable">
    <w:name w:val="HTML Variable"/>
    <w:basedOn w:val="DefaultParagraphFont"/>
    <w:uiPriority w:val="99"/>
    <w:semiHidden/>
    <w:rsid w:val="0035044D"/>
    <w:rPr>
      <w:i/>
      <w:iCs/>
      <w:lang w:val="en-GB"/>
    </w:rPr>
  </w:style>
  <w:style w:type="character" w:styleId="Hyperlink">
    <w:name w:val="Hyperlink"/>
    <w:basedOn w:val="DefaultParagraphFont"/>
    <w:uiPriority w:val="99"/>
    <w:semiHidden/>
    <w:rsid w:val="0035044D"/>
    <w:rPr>
      <w:color w:val="000000" w:themeColor="hyperlink"/>
      <w:u w:val="single"/>
      <w:lang w:val="en-GB"/>
    </w:rPr>
  </w:style>
  <w:style w:type="paragraph" w:styleId="Index1">
    <w:name w:val="index 1"/>
    <w:basedOn w:val="Normal"/>
    <w:next w:val="Normal"/>
    <w:autoRedefine/>
    <w:uiPriority w:val="99"/>
    <w:semiHidden/>
    <w:unhideWhenUsed/>
    <w:rsid w:val="0035044D"/>
    <w:pPr>
      <w:ind w:left="240" w:hanging="240"/>
    </w:pPr>
  </w:style>
  <w:style w:type="paragraph" w:styleId="IndexHeading">
    <w:name w:val="index heading"/>
    <w:basedOn w:val="Normal"/>
    <w:next w:val="Normal"/>
    <w:semiHidden/>
    <w:unhideWhenUsed/>
    <w:rsid w:val="0035044D"/>
    <w:rPr>
      <w:rFonts w:asciiTheme="majorHAnsi" w:eastAsiaTheme="majorEastAsia" w:hAnsiTheme="majorHAnsi" w:cstheme="majorBidi"/>
      <w:b/>
      <w:bCs/>
    </w:rPr>
  </w:style>
  <w:style w:type="character" w:styleId="IntenseEmphasis">
    <w:name w:val="Intense Emphasis"/>
    <w:basedOn w:val="DefaultParagraphFont"/>
    <w:uiPriority w:val="21"/>
    <w:rsid w:val="008C37D6"/>
    <w:rPr>
      <w:b/>
      <w:bCs/>
      <w:i/>
      <w:iCs/>
      <w:color w:val="auto"/>
      <w:lang w:val="en-GB"/>
    </w:rPr>
  </w:style>
  <w:style w:type="paragraph" w:styleId="IntenseQuote">
    <w:name w:val="Intense Quote"/>
    <w:basedOn w:val="Normal"/>
    <w:next w:val="Normal"/>
    <w:link w:val="IntenseQuoteChar"/>
    <w:uiPriority w:val="30"/>
    <w:rsid w:val="008C37D6"/>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C37D6"/>
    <w:rPr>
      <w:b/>
      <w:bCs/>
      <w:i/>
      <w:iCs/>
      <w:lang w:val="en-GB"/>
    </w:rPr>
  </w:style>
  <w:style w:type="character" w:styleId="IntenseReference">
    <w:name w:val="Intense Reference"/>
    <w:basedOn w:val="DefaultParagraphFont"/>
    <w:uiPriority w:val="32"/>
    <w:rsid w:val="00205DEB"/>
    <w:rPr>
      <w:b/>
      <w:bCs/>
      <w:caps w:val="0"/>
      <w:smallCaps w:val="0"/>
      <w:color w:val="auto"/>
      <w:spacing w:val="5"/>
      <w:u w:val="single"/>
      <w:lang w:val="en-GB"/>
    </w:rPr>
  </w:style>
  <w:style w:type="table" w:styleId="LightGrid">
    <w:name w:val="Light Grid"/>
    <w:basedOn w:val="TableNormal"/>
    <w:uiPriority w:val="62"/>
    <w:rsid w:val="0035044D"/>
    <w:rPr>
      <w:rFonts w:ascii="Times New Roman" w:hAnsi="Times New Roman" w:cs="Times New Roman"/>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5044D"/>
    <w:rPr>
      <w:rFonts w:ascii="Times New Roman" w:hAnsi="Times New Roman" w:cs="Times New Roman"/>
      <w:sz w:val="24"/>
      <w:szCs w:val="24"/>
      <w:lang w:val="en-GB"/>
    </w:rPr>
    <w:tblPr>
      <w:tblStyleRowBandSize w:val="1"/>
      <w:tblStyleColBandSize w:val="1"/>
      <w:tblBorders>
        <w:top w:val="single" w:sz="8" w:space="0" w:color="C38EC0" w:themeColor="accent1"/>
        <w:left w:val="single" w:sz="8" w:space="0" w:color="C38EC0" w:themeColor="accent1"/>
        <w:bottom w:val="single" w:sz="8" w:space="0" w:color="C38EC0" w:themeColor="accent1"/>
        <w:right w:val="single" w:sz="8" w:space="0" w:color="C38EC0" w:themeColor="accent1"/>
        <w:insideH w:val="single" w:sz="8" w:space="0" w:color="C38EC0" w:themeColor="accent1"/>
        <w:insideV w:val="single" w:sz="8" w:space="0" w:color="C38E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8EC0" w:themeColor="accent1"/>
          <w:left w:val="single" w:sz="8" w:space="0" w:color="C38EC0" w:themeColor="accent1"/>
          <w:bottom w:val="single" w:sz="18" w:space="0" w:color="C38EC0" w:themeColor="accent1"/>
          <w:right w:val="single" w:sz="8" w:space="0" w:color="C38EC0" w:themeColor="accent1"/>
          <w:insideH w:val="nil"/>
          <w:insideV w:val="single" w:sz="8" w:space="0" w:color="C38E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8EC0" w:themeColor="accent1"/>
          <w:left w:val="single" w:sz="8" w:space="0" w:color="C38EC0" w:themeColor="accent1"/>
          <w:bottom w:val="single" w:sz="8" w:space="0" w:color="C38EC0" w:themeColor="accent1"/>
          <w:right w:val="single" w:sz="8" w:space="0" w:color="C38EC0" w:themeColor="accent1"/>
          <w:insideH w:val="nil"/>
          <w:insideV w:val="single" w:sz="8" w:space="0" w:color="C38E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8EC0" w:themeColor="accent1"/>
          <w:left w:val="single" w:sz="8" w:space="0" w:color="C38EC0" w:themeColor="accent1"/>
          <w:bottom w:val="single" w:sz="8" w:space="0" w:color="C38EC0" w:themeColor="accent1"/>
          <w:right w:val="single" w:sz="8" w:space="0" w:color="C38EC0" w:themeColor="accent1"/>
        </w:tcBorders>
      </w:tcPr>
    </w:tblStylePr>
    <w:tblStylePr w:type="band1Vert">
      <w:tblPr/>
      <w:tcPr>
        <w:tcBorders>
          <w:top w:val="single" w:sz="8" w:space="0" w:color="C38EC0" w:themeColor="accent1"/>
          <w:left w:val="single" w:sz="8" w:space="0" w:color="C38EC0" w:themeColor="accent1"/>
          <w:bottom w:val="single" w:sz="8" w:space="0" w:color="C38EC0" w:themeColor="accent1"/>
          <w:right w:val="single" w:sz="8" w:space="0" w:color="C38EC0" w:themeColor="accent1"/>
        </w:tcBorders>
        <w:shd w:val="clear" w:color="auto" w:fill="F0E2EF" w:themeFill="accent1" w:themeFillTint="3F"/>
      </w:tcPr>
    </w:tblStylePr>
    <w:tblStylePr w:type="band1Horz">
      <w:tblPr/>
      <w:tcPr>
        <w:tcBorders>
          <w:top w:val="single" w:sz="8" w:space="0" w:color="C38EC0" w:themeColor="accent1"/>
          <w:left w:val="single" w:sz="8" w:space="0" w:color="C38EC0" w:themeColor="accent1"/>
          <w:bottom w:val="single" w:sz="8" w:space="0" w:color="C38EC0" w:themeColor="accent1"/>
          <w:right w:val="single" w:sz="8" w:space="0" w:color="C38EC0" w:themeColor="accent1"/>
          <w:insideV w:val="single" w:sz="8" w:space="0" w:color="C38EC0" w:themeColor="accent1"/>
        </w:tcBorders>
        <w:shd w:val="clear" w:color="auto" w:fill="F0E2EF" w:themeFill="accent1" w:themeFillTint="3F"/>
      </w:tcPr>
    </w:tblStylePr>
    <w:tblStylePr w:type="band2Horz">
      <w:tblPr/>
      <w:tcPr>
        <w:tcBorders>
          <w:top w:val="single" w:sz="8" w:space="0" w:color="C38EC0" w:themeColor="accent1"/>
          <w:left w:val="single" w:sz="8" w:space="0" w:color="C38EC0" w:themeColor="accent1"/>
          <w:bottom w:val="single" w:sz="8" w:space="0" w:color="C38EC0" w:themeColor="accent1"/>
          <w:right w:val="single" w:sz="8" w:space="0" w:color="C38EC0" w:themeColor="accent1"/>
          <w:insideV w:val="single" w:sz="8" w:space="0" w:color="C38EC0" w:themeColor="accent1"/>
        </w:tcBorders>
      </w:tcPr>
    </w:tblStylePr>
  </w:style>
  <w:style w:type="table" w:styleId="LightGrid-Accent2">
    <w:name w:val="Light Grid Accent 2"/>
    <w:basedOn w:val="TableNormal"/>
    <w:uiPriority w:val="62"/>
    <w:rsid w:val="0035044D"/>
    <w:rPr>
      <w:rFonts w:ascii="Times New Roman" w:hAnsi="Times New Roman" w:cs="Times New Roman"/>
      <w:sz w:val="24"/>
      <w:szCs w:val="24"/>
      <w:lang w:val="en-GB"/>
    </w:rPr>
    <w:tblPr>
      <w:tblStyleRowBandSize w:val="1"/>
      <w:tblStyleColBandSize w:val="1"/>
      <w:tblBorders>
        <w:top w:val="single" w:sz="8" w:space="0" w:color="CCA44F" w:themeColor="accent2"/>
        <w:left w:val="single" w:sz="8" w:space="0" w:color="CCA44F" w:themeColor="accent2"/>
        <w:bottom w:val="single" w:sz="8" w:space="0" w:color="CCA44F" w:themeColor="accent2"/>
        <w:right w:val="single" w:sz="8" w:space="0" w:color="CCA44F" w:themeColor="accent2"/>
        <w:insideH w:val="single" w:sz="8" w:space="0" w:color="CCA44F" w:themeColor="accent2"/>
        <w:insideV w:val="single" w:sz="8" w:space="0" w:color="CCA44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A44F" w:themeColor="accent2"/>
          <w:left w:val="single" w:sz="8" w:space="0" w:color="CCA44F" w:themeColor="accent2"/>
          <w:bottom w:val="single" w:sz="18" w:space="0" w:color="CCA44F" w:themeColor="accent2"/>
          <w:right w:val="single" w:sz="8" w:space="0" w:color="CCA44F" w:themeColor="accent2"/>
          <w:insideH w:val="nil"/>
          <w:insideV w:val="single" w:sz="8" w:space="0" w:color="CCA44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A44F" w:themeColor="accent2"/>
          <w:left w:val="single" w:sz="8" w:space="0" w:color="CCA44F" w:themeColor="accent2"/>
          <w:bottom w:val="single" w:sz="8" w:space="0" w:color="CCA44F" w:themeColor="accent2"/>
          <w:right w:val="single" w:sz="8" w:space="0" w:color="CCA44F" w:themeColor="accent2"/>
          <w:insideH w:val="nil"/>
          <w:insideV w:val="single" w:sz="8" w:space="0" w:color="CCA44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A44F" w:themeColor="accent2"/>
          <w:left w:val="single" w:sz="8" w:space="0" w:color="CCA44F" w:themeColor="accent2"/>
          <w:bottom w:val="single" w:sz="8" w:space="0" w:color="CCA44F" w:themeColor="accent2"/>
          <w:right w:val="single" w:sz="8" w:space="0" w:color="CCA44F" w:themeColor="accent2"/>
        </w:tcBorders>
      </w:tcPr>
    </w:tblStylePr>
    <w:tblStylePr w:type="band1Vert">
      <w:tblPr/>
      <w:tcPr>
        <w:tcBorders>
          <w:top w:val="single" w:sz="8" w:space="0" w:color="CCA44F" w:themeColor="accent2"/>
          <w:left w:val="single" w:sz="8" w:space="0" w:color="CCA44F" w:themeColor="accent2"/>
          <w:bottom w:val="single" w:sz="8" w:space="0" w:color="CCA44F" w:themeColor="accent2"/>
          <w:right w:val="single" w:sz="8" w:space="0" w:color="CCA44F" w:themeColor="accent2"/>
        </w:tcBorders>
        <w:shd w:val="clear" w:color="auto" w:fill="F2E8D3" w:themeFill="accent2" w:themeFillTint="3F"/>
      </w:tcPr>
    </w:tblStylePr>
    <w:tblStylePr w:type="band1Horz">
      <w:tblPr/>
      <w:tcPr>
        <w:tcBorders>
          <w:top w:val="single" w:sz="8" w:space="0" w:color="CCA44F" w:themeColor="accent2"/>
          <w:left w:val="single" w:sz="8" w:space="0" w:color="CCA44F" w:themeColor="accent2"/>
          <w:bottom w:val="single" w:sz="8" w:space="0" w:color="CCA44F" w:themeColor="accent2"/>
          <w:right w:val="single" w:sz="8" w:space="0" w:color="CCA44F" w:themeColor="accent2"/>
          <w:insideV w:val="single" w:sz="8" w:space="0" w:color="CCA44F" w:themeColor="accent2"/>
        </w:tcBorders>
        <w:shd w:val="clear" w:color="auto" w:fill="F2E8D3" w:themeFill="accent2" w:themeFillTint="3F"/>
      </w:tcPr>
    </w:tblStylePr>
    <w:tblStylePr w:type="band2Horz">
      <w:tblPr/>
      <w:tcPr>
        <w:tcBorders>
          <w:top w:val="single" w:sz="8" w:space="0" w:color="CCA44F" w:themeColor="accent2"/>
          <w:left w:val="single" w:sz="8" w:space="0" w:color="CCA44F" w:themeColor="accent2"/>
          <w:bottom w:val="single" w:sz="8" w:space="0" w:color="CCA44F" w:themeColor="accent2"/>
          <w:right w:val="single" w:sz="8" w:space="0" w:color="CCA44F" w:themeColor="accent2"/>
          <w:insideV w:val="single" w:sz="8" w:space="0" w:color="CCA44F" w:themeColor="accent2"/>
        </w:tcBorders>
      </w:tcPr>
    </w:tblStylePr>
  </w:style>
  <w:style w:type="table" w:styleId="LightGrid-Accent3">
    <w:name w:val="Light Grid Accent 3"/>
    <w:basedOn w:val="TableNormal"/>
    <w:uiPriority w:val="62"/>
    <w:rsid w:val="0035044D"/>
    <w:rPr>
      <w:rFonts w:ascii="Times New Roman" w:hAnsi="Times New Roman" w:cs="Times New Roman"/>
      <w:sz w:val="24"/>
      <w:szCs w:val="24"/>
      <w:lang w:val="en-GB"/>
    </w:rPr>
    <w:tblPr>
      <w:tblStyleRowBandSize w:val="1"/>
      <w:tblStyleColBandSize w:val="1"/>
      <w:tblBorders>
        <w:top w:val="single" w:sz="8" w:space="0" w:color="FF6835" w:themeColor="accent3"/>
        <w:left w:val="single" w:sz="8" w:space="0" w:color="FF6835" w:themeColor="accent3"/>
        <w:bottom w:val="single" w:sz="8" w:space="0" w:color="FF6835" w:themeColor="accent3"/>
        <w:right w:val="single" w:sz="8" w:space="0" w:color="FF6835" w:themeColor="accent3"/>
        <w:insideH w:val="single" w:sz="8" w:space="0" w:color="FF6835" w:themeColor="accent3"/>
        <w:insideV w:val="single" w:sz="8" w:space="0" w:color="FF68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835" w:themeColor="accent3"/>
          <w:left w:val="single" w:sz="8" w:space="0" w:color="FF6835" w:themeColor="accent3"/>
          <w:bottom w:val="single" w:sz="18" w:space="0" w:color="FF6835" w:themeColor="accent3"/>
          <w:right w:val="single" w:sz="8" w:space="0" w:color="FF6835" w:themeColor="accent3"/>
          <w:insideH w:val="nil"/>
          <w:insideV w:val="single" w:sz="8" w:space="0" w:color="FF68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835" w:themeColor="accent3"/>
          <w:left w:val="single" w:sz="8" w:space="0" w:color="FF6835" w:themeColor="accent3"/>
          <w:bottom w:val="single" w:sz="8" w:space="0" w:color="FF6835" w:themeColor="accent3"/>
          <w:right w:val="single" w:sz="8" w:space="0" w:color="FF6835" w:themeColor="accent3"/>
          <w:insideH w:val="nil"/>
          <w:insideV w:val="single" w:sz="8" w:space="0" w:color="FF68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835" w:themeColor="accent3"/>
          <w:left w:val="single" w:sz="8" w:space="0" w:color="FF6835" w:themeColor="accent3"/>
          <w:bottom w:val="single" w:sz="8" w:space="0" w:color="FF6835" w:themeColor="accent3"/>
          <w:right w:val="single" w:sz="8" w:space="0" w:color="FF6835" w:themeColor="accent3"/>
        </w:tcBorders>
      </w:tcPr>
    </w:tblStylePr>
    <w:tblStylePr w:type="band1Vert">
      <w:tblPr/>
      <w:tcPr>
        <w:tcBorders>
          <w:top w:val="single" w:sz="8" w:space="0" w:color="FF6835" w:themeColor="accent3"/>
          <w:left w:val="single" w:sz="8" w:space="0" w:color="FF6835" w:themeColor="accent3"/>
          <w:bottom w:val="single" w:sz="8" w:space="0" w:color="FF6835" w:themeColor="accent3"/>
          <w:right w:val="single" w:sz="8" w:space="0" w:color="FF6835" w:themeColor="accent3"/>
        </w:tcBorders>
        <w:shd w:val="clear" w:color="auto" w:fill="FFD9CD" w:themeFill="accent3" w:themeFillTint="3F"/>
      </w:tcPr>
    </w:tblStylePr>
    <w:tblStylePr w:type="band1Horz">
      <w:tblPr/>
      <w:tcPr>
        <w:tcBorders>
          <w:top w:val="single" w:sz="8" w:space="0" w:color="FF6835" w:themeColor="accent3"/>
          <w:left w:val="single" w:sz="8" w:space="0" w:color="FF6835" w:themeColor="accent3"/>
          <w:bottom w:val="single" w:sz="8" w:space="0" w:color="FF6835" w:themeColor="accent3"/>
          <w:right w:val="single" w:sz="8" w:space="0" w:color="FF6835" w:themeColor="accent3"/>
          <w:insideV w:val="single" w:sz="8" w:space="0" w:color="FF6835" w:themeColor="accent3"/>
        </w:tcBorders>
        <w:shd w:val="clear" w:color="auto" w:fill="FFD9CD" w:themeFill="accent3" w:themeFillTint="3F"/>
      </w:tcPr>
    </w:tblStylePr>
    <w:tblStylePr w:type="band2Horz">
      <w:tblPr/>
      <w:tcPr>
        <w:tcBorders>
          <w:top w:val="single" w:sz="8" w:space="0" w:color="FF6835" w:themeColor="accent3"/>
          <w:left w:val="single" w:sz="8" w:space="0" w:color="FF6835" w:themeColor="accent3"/>
          <w:bottom w:val="single" w:sz="8" w:space="0" w:color="FF6835" w:themeColor="accent3"/>
          <w:right w:val="single" w:sz="8" w:space="0" w:color="FF6835" w:themeColor="accent3"/>
          <w:insideV w:val="single" w:sz="8" w:space="0" w:color="FF6835" w:themeColor="accent3"/>
        </w:tcBorders>
      </w:tcPr>
    </w:tblStylePr>
  </w:style>
  <w:style w:type="table" w:styleId="LightGrid-Accent4">
    <w:name w:val="Light Grid Accent 4"/>
    <w:basedOn w:val="TableNormal"/>
    <w:uiPriority w:val="62"/>
    <w:rsid w:val="0035044D"/>
    <w:rPr>
      <w:rFonts w:ascii="Times New Roman" w:hAnsi="Times New Roman" w:cs="Times New Roman"/>
      <w:sz w:val="24"/>
      <w:szCs w:val="24"/>
      <w:lang w:val="en-GB"/>
    </w:rPr>
    <w:tblPr>
      <w:tblStyleRowBandSize w:val="1"/>
      <w:tblStyleColBandSize w:val="1"/>
      <w:tblBorders>
        <w:top w:val="single" w:sz="8" w:space="0" w:color="708FFF" w:themeColor="accent4"/>
        <w:left w:val="single" w:sz="8" w:space="0" w:color="708FFF" w:themeColor="accent4"/>
        <w:bottom w:val="single" w:sz="8" w:space="0" w:color="708FFF" w:themeColor="accent4"/>
        <w:right w:val="single" w:sz="8" w:space="0" w:color="708FFF" w:themeColor="accent4"/>
        <w:insideH w:val="single" w:sz="8" w:space="0" w:color="708FFF" w:themeColor="accent4"/>
        <w:insideV w:val="single" w:sz="8" w:space="0" w:color="708F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8FFF" w:themeColor="accent4"/>
          <w:left w:val="single" w:sz="8" w:space="0" w:color="708FFF" w:themeColor="accent4"/>
          <w:bottom w:val="single" w:sz="18" w:space="0" w:color="708FFF" w:themeColor="accent4"/>
          <w:right w:val="single" w:sz="8" w:space="0" w:color="708FFF" w:themeColor="accent4"/>
          <w:insideH w:val="nil"/>
          <w:insideV w:val="single" w:sz="8" w:space="0" w:color="708F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8FFF" w:themeColor="accent4"/>
          <w:left w:val="single" w:sz="8" w:space="0" w:color="708FFF" w:themeColor="accent4"/>
          <w:bottom w:val="single" w:sz="8" w:space="0" w:color="708FFF" w:themeColor="accent4"/>
          <w:right w:val="single" w:sz="8" w:space="0" w:color="708FFF" w:themeColor="accent4"/>
          <w:insideH w:val="nil"/>
          <w:insideV w:val="single" w:sz="8" w:space="0" w:color="708F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8FFF" w:themeColor="accent4"/>
          <w:left w:val="single" w:sz="8" w:space="0" w:color="708FFF" w:themeColor="accent4"/>
          <w:bottom w:val="single" w:sz="8" w:space="0" w:color="708FFF" w:themeColor="accent4"/>
          <w:right w:val="single" w:sz="8" w:space="0" w:color="708FFF" w:themeColor="accent4"/>
        </w:tcBorders>
      </w:tcPr>
    </w:tblStylePr>
    <w:tblStylePr w:type="band1Vert">
      <w:tblPr/>
      <w:tcPr>
        <w:tcBorders>
          <w:top w:val="single" w:sz="8" w:space="0" w:color="708FFF" w:themeColor="accent4"/>
          <w:left w:val="single" w:sz="8" w:space="0" w:color="708FFF" w:themeColor="accent4"/>
          <w:bottom w:val="single" w:sz="8" w:space="0" w:color="708FFF" w:themeColor="accent4"/>
          <w:right w:val="single" w:sz="8" w:space="0" w:color="708FFF" w:themeColor="accent4"/>
        </w:tcBorders>
        <w:shd w:val="clear" w:color="auto" w:fill="DBE3FF" w:themeFill="accent4" w:themeFillTint="3F"/>
      </w:tcPr>
    </w:tblStylePr>
    <w:tblStylePr w:type="band1Horz">
      <w:tblPr/>
      <w:tcPr>
        <w:tcBorders>
          <w:top w:val="single" w:sz="8" w:space="0" w:color="708FFF" w:themeColor="accent4"/>
          <w:left w:val="single" w:sz="8" w:space="0" w:color="708FFF" w:themeColor="accent4"/>
          <w:bottom w:val="single" w:sz="8" w:space="0" w:color="708FFF" w:themeColor="accent4"/>
          <w:right w:val="single" w:sz="8" w:space="0" w:color="708FFF" w:themeColor="accent4"/>
          <w:insideV w:val="single" w:sz="8" w:space="0" w:color="708FFF" w:themeColor="accent4"/>
        </w:tcBorders>
        <w:shd w:val="clear" w:color="auto" w:fill="DBE3FF" w:themeFill="accent4" w:themeFillTint="3F"/>
      </w:tcPr>
    </w:tblStylePr>
    <w:tblStylePr w:type="band2Horz">
      <w:tblPr/>
      <w:tcPr>
        <w:tcBorders>
          <w:top w:val="single" w:sz="8" w:space="0" w:color="708FFF" w:themeColor="accent4"/>
          <w:left w:val="single" w:sz="8" w:space="0" w:color="708FFF" w:themeColor="accent4"/>
          <w:bottom w:val="single" w:sz="8" w:space="0" w:color="708FFF" w:themeColor="accent4"/>
          <w:right w:val="single" w:sz="8" w:space="0" w:color="708FFF" w:themeColor="accent4"/>
          <w:insideV w:val="single" w:sz="8" w:space="0" w:color="708FFF" w:themeColor="accent4"/>
        </w:tcBorders>
      </w:tcPr>
    </w:tblStylePr>
  </w:style>
  <w:style w:type="table" w:styleId="LightGrid-Accent5">
    <w:name w:val="Light Grid Accent 5"/>
    <w:basedOn w:val="TableNormal"/>
    <w:uiPriority w:val="62"/>
    <w:rsid w:val="0035044D"/>
    <w:rPr>
      <w:rFonts w:ascii="Times New Roman" w:hAnsi="Times New Roman" w:cs="Times New Roman"/>
      <w:sz w:val="24"/>
      <w:szCs w:val="24"/>
      <w:lang w:val="en-GB"/>
    </w:rPr>
    <w:tblPr>
      <w:tblStyleRowBandSize w:val="1"/>
      <w:tblStyleColBandSize w:val="1"/>
      <w:tblBorders>
        <w:top w:val="single" w:sz="8" w:space="0" w:color="46BB51" w:themeColor="accent5"/>
        <w:left w:val="single" w:sz="8" w:space="0" w:color="46BB51" w:themeColor="accent5"/>
        <w:bottom w:val="single" w:sz="8" w:space="0" w:color="46BB51" w:themeColor="accent5"/>
        <w:right w:val="single" w:sz="8" w:space="0" w:color="46BB51" w:themeColor="accent5"/>
        <w:insideH w:val="single" w:sz="8" w:space="0" w:color="46BB51" w:themeColor="accent5"/>
        <w:insideV w:val="single" w:sz="8" w:space="0" w:color="46BB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B51" w:themeColor="accent5"/>
          <w:left w:val="single" w:sz="8" w:space="0" w:color="46BB51" w:themeColor="accent5"/>
          <w:bottom w:val="single" w:sz="18" w:space="0" w:color="46BB51" w:themeColor="accent5"/>
          <w:right w:val="single" w:sz="8" w:space="0" w:color="46BB51" w:themeColor="accent5"/>
          <w:insideH w:val="nil"/>
          <w:insideV w:val="single" w:sz="8" w:space="0" w:color="46BB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B51" w:themeColor="accent5"/>
          <w:left w:val="single" w:sz="8" w:space="0" w:color="46BB51" w:themeColor="accent5"/>
          <w:bottom w:val="single" w:sz="8" w:space="0" w:color="46BB51" w:themeColor="accent5"/>
          <w:right w:val="single" w:sz="8" w:space="0" w:color="46BB51" w:themeColor="accent5"/>
          <w:insideH w:val="nil"/>
          <w:insideV w:val="single" w:sz="8" w:space="0" w:color="46BB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B51" w:themeColor="accent5"/>
          <w:left w:val="single" w:sz="8" w:space="0" w:color="46BB51" w:themeColor="accent5"/>
          <w:bottom w:val="single" w:sz="8" w:space="0" w:color="46BB51" w:themeColor="accent5"/>
          <w:right w:val="single" w:sz="8" w:space="0" w:color="46BB51" w:themeColor="accent5"/>
        </w:tcBorders>
      </w:tcPr>
    </w:tblStylePr>
    <w:tblStylePr w:type="band1Vert">
      <w:tblPr/>
      <w:tcPr>
        <w:tcBorders>
          <w:top w:val="single" w:sz="8" w:space="0" w:color="46BB51" w:themeColor="accent5"/>
          <w:left w:val="single" w:sz="8" w:space="0" w:color="46BB51" w:themeColor="accent5"/>
          <w:bottom w:val="single" w:sz="8" w:space="0" w:color="46BB51" w:themeColor="accent5"/>
          <w:right w:val="single" w:sz="8" w:space="0" w:color="46BB51" w:themeColor="accent5"/>
        </w:tcBorders>
        <w:shd w:val="clear" w:color="auto" w:fill="D1EED3" w:themeFill="accent5" w:themeFillTint="3F"/>
      </w:tcPr>
    </w:tblStylePr>
    <w:tblStylePr w:type="band1Horz">
      <w:tblPr/>
      <w:tcPr>
        <w:tcBorders>
          <w:top w:val="single" w:sz="8" w:space="0" w:color="46BB51" w:themeColor="accent5"/>
          <w:left w:val="single" w:sz="8" w:space="0" w:color="46BB51" w:themeColor="accent5"/>
          <w:bottom w:val="single" w:sz="8" w:space="0" w:color="46BB51" w:themeColor="accent5"/>
          <w:right w:val="single" w:sz="8" w:space="0" w:color="46BB51" w:themeColor="accent5"/>
          <w:insideV w:val="single" w:sz="8" w:space="0" w:color="46BB51" w:themeColor="accent5"/>
        </w:tcBorders>
        <w:shd w:val="clear" w:color="auto" w:fill="D1EED3" w:themeFill="accent5" w:themeFillTint="3F"/>
      </w:tcPr>
    </w:tblStylePr>
    <w:tblStylePr w:type="band2Horz">
      <w:tblPr/>
      <w:tcPr>
        <w:tcBorders>
          <w:top w:val="single" w:sz="8" w:space="0" w:color="46BB51" w:themeColor="accent5"/>
          <w:left w:val="single" w:sz="8" w:space="0" w:color="46BB51" w:themeColor="accent5"/>
          <w:bottom w:val="single" w:sz="8" w:space="0" w:color="46BB51" w:themeColor="accent5"/>
          <w:right w:val="single" w:sz="8" w:space="0" w:color="46BB51" w:themeColor="accent5"/>
          <w:insideV w:val="single" w:sz="8" w:space="0" w:color="46BB51" w:themeColor="accent5"/>
        </w:tcBorders>
      </w:tcPr>
    </w:tblStylePr>
  </w:style>
  <w:style w:type="table" w:styleId="LightGrid-Accent6">
    <w:name w:val="Light Grid Accent 6"/>
    <w:basedOn w:val="TableNormal"/>
    <w:uiPriority w:val="62"/>
    <w:rsid w:val="0035044D"/>
    <w:rPr>
      <w:rFonts w:ascii="Times New Roman" w:hAnsi="Times New Roman" w:cs="Times New Roman"/>
      <w:sz w:val="24"/>
      <w:szCs w:val="24"/>
      <w:lang w:val="en-GB"/>
    </w:rPr>
    <w:tblPr>
      <w:tblStyleRowBandSize w:val="1"/>
      <w:tblStyleColBandSize w:val="1"/>
      <w:tblBorders>
        <w:top w:val="single" w:sz="8" w:space="0" w:color="CCCBBE" w:themeColor="accent6"/>
        <w:left w:val="single" w:sz="8" w:space="0" w:color="CCCBBE" w:themeColor="accent6"/>
        <w:bottom w:val="single" w:sz="8" w:space="0" w:color="CCCBBE" w:themeColor="accent6"/>
        <w:right w:val="single" w:sz="8" w:space="0" w:color="CCCBBE" w:themeColor="accent6"/>
        <w:insideH w:val="single" w:sz="8" w:space="0" w:color="CCCBBE" w:themeColor="accent6"/>
        <w:insideV w:val="single" w:sz="8" w:space="0" w:color="CCCBB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CBBE" w:themeColor="accent6"/>
          <w:left w:val="single" w:sz="8" w:space="0" w:color="CCCBBE" w:themeColor="accent6"/>
          <w:bottom w:val="single" w:sz="18" w:space="0" w:color="CCCBBE" w:themeColor="accent6"/>
          <w:right w:val="single" w:sz="8" w:space="0" w:color="CCCBBE" w:themeColor="accent6"/>
          <w:insideH w:val="nil"/>
          <w:insideV w:val="single" w:sz="8" w:space="0" w:color="CCCBB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CBBE" w:themeColor="accent6"/>
          <w:left w:val="single" w:sz="8" w:space="0" w:color="CCCBBE" w:themeColor="accent6"/>
          <w:bottom w:val="single" w:sz="8" w:space="0" w:color="CCCBBE" w:themeColor="accent6"/>
          <w:right w:val="single" w:sz="8" w:space="0" w:color="CCCBBE" w:themeColor="accent6"/>
          <w:insideH w:val="nil"/>
          <w:insideV w:val="single" w:sz="8" w:space="0" w:color="CCCBB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CBBE" w:themeColor="accent6"/>
          <w:left w:val="single" w:sz="8" w:space="0" w:color="CCCBBE" w:themeColor="accent6"/>
          <w:bottom w:val="single" w:sz="8" w:space="0" w:color="CCCBBE" w:themeColor="accent6"/>
          <w:right w:val="single" w:sz="8" w:space="0" w:color="CCCBBE" w:themeColor="accent6"/>
        </w:tcBorders>
      </w:tcPr>
    </w:tblStylePr>
    <w:tblStylePr w:type="band1Vert">
      <w:tblPr/>
      <w:tcPr>
        <w:tcBorders>
          <w:top w:val="single" w:sz="8" w:space="0" w:color="CCCBBE" w:themeColor="accent6"/>
          <w:left w:val="single" w:sz="8" w:space="0" w:color="CCCBBE" w:themeColor="accent6"/>
          <w:bottom w:val="single" w:sz="8" w:space="0" w:color="CCCBBE" w:themeColor="accent6"/>
          <w:right w:val="single" w:sz="8" w:space="0" w:color="CCCBBE" w:themeColor="accent6"/>
        </w:tcBorders>
        <w:shd w:val="clear" w:color="auto" w:fill="F2F2EE" w:themeFill="accent6" w:themeFillTint="3F"/>
      </w:tcPr>
    </w:tblStylePr>
    <w:tblStylePr w:type="band1Horz">
      <w:tblPr/>
      <w:tcPr>
        <w:tcBorders>
          <w:top w:val="single" w:sz="8" w:space="0" w:color="CCCBBE" w:themeColor="accent6"/>
          <w:left w:val="single" w:sz="8" w:space="0" w:color="CCCBBE" w:themeColor="accent6"/>
          <w:bottom w:val="single" w:sz="8" w:space="0" w:color="CCCBBE" w:themeColor="accent6"/>
          <w:right w:val="single" w:sz="8" w:space="0" w:color="CCCBBE" w:themeColor="accent6"/>
          <w:insideV w:val="single" w:sz="8" w:space="0" w:color="CCCBBE" w:themeColor="accent6"/>
        </w:tcBorders>
        <w:shd w:val="clear" w:color="auto" w:fill="F2F2EE" w:themeFill="accent6" w:themeFillTint="3F"/>
      </w:tcPr>
    </w:tblStylePr>
    <w:tblStylePr w:type="band2Horz">
      <w:tblPr/>
      <w:tcPr>
        <w:tcBorders>
          <w:top w:val="single" w:sz="8" w:space="0" w:color="CCCBBE" w:themeColor="accent6"/>
          <w:left w:val="single" w:sz="8" w:space="0" w:color="CCCBBE" w:themeColor="accent6"/>
          <w:bottom w:val="single" w:sz="8" w:space="0" w:color="CCCBBE" w:themeColor="accent6"/>
          <w:right w:val="single" w:sz="8" w:space="0" w:color="CCCBBE" w:themeColor="accent6"/>
          <w:insideV w:val="single" w:sz="8" w:space="0" w:color="CCCBBE" w:themeColor="accent6"/>
        </w:tcBorders>
      </w:tcPr>
    </w:tblStylePr>
  </w:style>
  <w:style w:type="table" w:styleId="LightList">
    <w:name w:val="Light List"/>
    <w:basedOn w:val="TableNormal"/>
    <w:uiPriority w:val="61"/>
    <w:rsid w:val="0035044D"/>
    <w:rPr>
      <w:rFonts w:ascii="Times New Roman" w:hAnsi="Times New Roman" w:cs="Times New Roman"/>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5044D"/>
    <w:rPr>
      <w:rFonts w:ascii="Times New Roman" w:hAnsi="Times New Roman" w:cs="Times New Roman"/>
      <w:sz w:val="24"/>
      <w:szCs w:val="24"/>
      <w:lang w:val="en-GB"/>
    </w:rPr>
    <w:tblPr>
      <w:tblStyleRowBandSize w:val="1"/>
      <w:tblStyleColBandSize w:val="1"/>
      <w:tblBorders>
        <w:top w:val="single" w:sz="8" w:space="0" w:color="C38EC0" w:themeColor="accent1"/>
        <w:left w:val="single" w:sz="8" w:space="0" w:color="C38EC0" w:themeColor="accent1"/>
        <w:bottom w:val="single" w:sz="8" w:space="0" w:color="C38EC0" w:themeColor="accent1"/>
        <w:right w:val="single" w:sz="8" w:space="0" w:color="C38EC0" w:themeColor="accent1"/>
      </w:tblBorders>
    </w:tblPr>
    <w:tblStylePr w:type="firstRow">
      <w:pPr>
        <w:spacing w:before="0" w:after="0" w:line="240" w:lineRule="auto"/>
      </w:pPr>
      <w:rPr>
        <w:b/>
        <w:bCs/>
        <w:color w:val="FFFFFF" w:themeColor="background1"/>
      </w:rPr>
      <w:tblPr/>
      <w:tcPr>
        <w:shd w:val="clear" w:color="auto" w:fill="C38EC0" w:themeFill="accent1"/>
      </w:tcPr>
    </w:tblStylePr>
    <w:tblStylePr w:type="lastRow">
      <w:pPr>
        <w:spacing w:before="0" w:after="0" w:line="240" w:lineRule="auto"/>
      </w:pPr>
      <w:rPr>
        <w:b/>
        <w:bCs/>
      </w:rPr>
      <w:tblPr/>
      <w:tcPr>
        <w:tcBorders>
          <w:top w:val="double" w:sz="6" w:space="0" w:color="C38EC0" w:themeColor="accent1"/>
          <w:left w:val="single" w:sz="8" w:space="0" w:color="C38EC0" w:themeColor="accent1"/>
          <w:bottom w:val="single" w:sz="8" w:space="0" w:color="C38EC0" w:themeColor="accent1"/>
          <w:right w:val="single" w:sz="8" w:space="0" w:color="C38EC0" w:themeColor="accent1"/>
        </w:tcBorders>
      </w:tcPr>
    </w:tblStylePr>
    <w:tblStylePr w:type="firstCol">
      <w:rPr>
        <w:b/>
        <w:bCs/>
      </w:rPr>
    </w:tblStylePr>
    <w:tblStylePr w:type="lastCol">
      <w:rPr>
        <w:b/>
        <w:bCs/>
      </w:rPr>
    </w:tblStylePr>
    <w:tblStylePr w:type="band1Vert">
      <w:tblPr/>
      <w:tcPr>
        <w:tcBorders>
          <w:top w:val="single" w:sz="8" w:space="0" w:color="C38EC0" w:themeColor="accent1"/>
          <w:left w:val="single" w:sz="8" w:space="0" w:color="C38EC0" w:themeColor="accent1"/>
          <w:bottom w:val="single" w:sz="8" w:space="0" w:color="C38EC0" w:themeColor="accent1"/>
          <w:right w:val="single" w:sz="8" w:space="0" w:color="C38EC0" w:themeColor="accent1"/>
        </w:tcBorders>
      </w:tcPr>
    </w:tblStylePr>
    <w:tblStylePr w:type="band1Horz">
      <w:tblPr/>
      <w:tcPr>
        <w:tcBorders>
          <w:top w:val="single" w:sz="8" w:space="0" w:color="C38EC0" w:themeColor="accent1"/>
          <w:left w:val="single" w:sz="8" w:space="0" w:color="C38EC0" w:themeColor="accent1"/>
          <w:bottom w:val="single" w:sz="8" w:space="0" w:color="C38EC0" w:themeColor="accent1"/>
          <w:right w:val="single" w:sz="8" w:space="0" w:color="C38EC0" w:themeColor="accent1"/>
        </w:tcBorders>
      </w:tcPr>
    </w:tblStylePr>
  </w:style>
  <w:style w:type="table" w:styleId="LightList-Accent2">
    <w:name w:val="Light List Accent 2"/>
    <w:basedOn w:val="TableNormal"/>
    <w:uiPriority w:val="61"/>
    <w:rsid w:val="0035044D"/>
    <w:rPr>
      <w:rFonts w:ascii="Times New Roman" w:hAnsi="Times New Roman" w:cs="Times New Roman"/>
      <w:sz w:val="24"/>
      <w:szCs w:val="24"/>
      <w:lang w:val="en-GB"/>
    </w:rPr>
    <w:tblPr>
      <w:tblStyleRowBandSize w:val="1"/>
      <w:tblStyleColBandSize w:val="1"/>
      <w:tblBorders>
        <w:top w:val="single" w:sz="8" w:space="0" w:color="CCA44F" w:themeColor="accent2"/>
        <w:left w:val="single" w:sz="8" w:space="0" w:color="CCA44F" w:themeColor="accent2"/>
        <w:bottom w:val="single" w:sz="8" w:space="0" w:color="CCA44F" w:themeColor="accent2"/>
        <w:right w:val="single" w:sz="8" w:space="0" w:color="CCA44F" w:themeColor="accent2"/>
      </w:tblBorders>
    </w:tblPr>
    <w:tblStylePr w:type="firstRow">
      <w:pPr>
        <w:spacing w:before="0" w:after="0" w:line="240" w:lineRule="auto"/>
      </w:pPr>
      <w:rPr>
        <w:b/>
        <w:bCs/>
        <w:color w:val="FFFFFF" w:themeColor="background1"/>
      </w:rPr>
      <w:tblPr/>
      <w:tcPr>
        <w:shd w:val="clear" w:color="auto" w:fill="CCA44F" w:themeFill="accent2"/>
      </w:tcPr>
    </w:tblStylePr>
    <w:tblStylePr w:type="lastRow">
      <w:pPr>
        <w:spacing w:before="0" w:after="0" w:line="240" w:lineRule="auto"/>
      </w:pPr>
      <w:rPr>
        <w:b/>
        <w:bCs/>
      </w:rPr>
      <w:tblPr/>
      <w:tcPr>
        <w:tcBorders>
          <w:top w:val="double" w:sz="6" w:space="0" w:color="CCA44F" w:themeColor="accent2"/>
          <w:left w:val="single" w:sz="8" w:space="0" w:color="CCA44F" w:themeColor="accent2"/>
          <w:bottom w:val="single" w:sz="8" w:space="0" w:color="CCA44F" w:themeColor="accent2"/>
          <w:right w:val="single" w:sz="8" w:space="0" w:color="CCA44F" w:themeColor="accent2"/>
        </w:tcBorders>
      </w:tcPr>
    </w:tblStylePr>
    <w:tblStylePr w:type="firstCol">
      <w:rPr>
        <w:b/>
        <w:bCs/>
      </w:rPr>
    </w:tblStylePr>
    <w:tblStylePr w:type="lastCol">
      <w:rPr>
        <w:b/>
        <w:bCs/>
      </w:rPr>
    </w:tblStylePr>
    <w:tblStylePr w:type="band1Vert">
      <w:tblPr/>
      <w:tcPr>
        <w:tcBorders>
          <w:top w:val="single" w:sz="8" w:space="0" w:color="CCA44F" w:themeColor="accent2"/>
          <w:left w:val="single" w:sz="8" w:space="0" w:color="CCA44F" w:themeColor="accent2"/>
          <w:bottom w:val="single" w:sz="8" w:space="0" w:color="CCA44F" w:themeColor="accent2"/>
          <w:right w:val="single" w:sz="8" w:space="0" w:color="CCA44F" w:themeColor="accent2"/>
        </w:tcBorders>
      </w:tcPr>
    </w:tblStylePr>
    <w:tblStylePr w:type="band1Horz">
      <w:tblPr/>
      <w:tcPr>
        <w:tcBorders>
          <w:top w:val="single" w:sz="8" w:space="0" w:color="CCA44F" w:themeColor="accent2"/>
          <w:left w:val="single" w:sz="8" w:space="0" w:color="CCA44F" w:themeColor="accent2"/>
          <w:bottom w:val="single" w:sz="8" w:space="0" w:color="CCA44F" w:themeColor="accent2"/>
          <w:right w:val="single" w:sz="8" w:space="0" w:color="CCA44F" w:themeColor="accent2"/>
        </w:tcBorders>
      </w:tcPr>
    </w:tblStylePr>
  </w:style>
  <w:style w:type="table" w:styleId="LightList-Accent3">
    <w:name w:val="Light List Accent 3"/>
    <w:basedOn w:val="TableNormal"/>
    <w:uiPriority w:val="61"/>
    <w:rsid w:val="0035044D"/>
    <w:rPr>
      <w:rFonts w:ascii="Times New Roman" w:hAnsi="Times New Roman" w:cs="Times New Roman"/>
      <w:sz w:val="24"/>
      <w:szCs w:val="24"/>
      <w:lang w:val="en-GB"/>
    </w:rPr>
    <w:tblPr>
      <w:tblStyleRowBandSize w:val="1"/>
      <w:tblStyleColBandSize w:val="1"/>
      <w:tblBorders>
        <w:top w:val="single" w:sz="8" w:space="0" w:color="FF6835" w:themeColor="accent3"/>
        <w:left w:val="single" w:sz="8" w:space="0" w:color="FF6835" w:themeColor="accent3"/>
        <w:bottom w:val="single" w:sz="8" w:space="0" w:color="FF6835" w:themeColor="accent3"/>
        <w:right w:val="single" w:sz="8" w:space="0" w:color="FF6835" w:themeColor="accent3"/>
      </w:tblBorders>
    </w:tblPr>
    <w:tblStylePr w:type="firstRow">
      <w:pPr>
        <w:spacing w:before="0" w:after="0" w:line="240" w:lineRule="auto"/>
      </w:pPr>
      <w:rPr>
        <w:b/>
        <w:bCs/>
        <w:color w:val="FFFFFF" w:themeColor="background1"/>
      </w:rPr>
      <w:tblPr/>
      <w:tcPr>
        <w:shd w:val="clear" w:color="auto" w:fill="FF6835" w:themeFill="accent3"/>
      </w:tcPr>
    </w:tblStylePr>
    <w:tblStylePr w:type="lastRow">
      <w:pPr>
        <w:spacing w:before="0" w:after="0" w:line="240" w:lineRule="auto"/>
      </w:pPr>
      <w:rPr>
        <w:b/>
        <w:bCs/>
      </w:rPr>
      <w:tblPr/>
      <w:tcPr>
        <w:tcBorders>
          <w:top w:val="double" w:sz="6" w:space="0" w:color="FF6835" w:themeColor="accent3"/>
          <w:left w:val="single" w:sz="8" w:space="0" w:color="FF6835" w:themeColor="accent3"/>
          <w:bottom w:val="single" w:sz="8" w:space="0" w:color="FF6835" w:themeColor="accent3"/>
          <w:right w:val="single" w:sz="8" w:space="0" w:color="FF6835" w:themeColor="accent3"/>
        </w:tcBorders>
      </w:tcPr>
    </w:tblStylePr>
    <w:tblStylePr w:type="firstCol">
      <w:rPr>
        <w:b/>
        <w:bCs/>
      </w:rPr>
    </w:tblStylePr>
    <w:tblStylePr w:type="lastCol">
      <w:rPr>
        <w:b/>
        <w:bCs/>
      </w:rPr>
    </w:tblStylePr>
    <w:tblStylePr w:type="band1Vert">
      <w:tblPr/>
      <w:tcPr>
        <w:tcBorders>
          <w:top w:val="single" w:sz="8" w:space="0" w:color="FF6835" w:themeColor="accent3"/>
          <w:left w:val="single" w:sz="8" w:space="0" w:color="FF6835" w:themeColor="accent3"/>
          <w:bottom w:val="single" w:sz="8" w:space="0" w:color="FF6835" w:themeColor="accent3"/>
          <w:right w:val="single" w:sz="8" w:space="0" w:color="FF6835" w:themeColor="accent3"/>
        </w:tcBorders>
      </w:tcPr>
    </w:tblStylePr>
    <w:tblStylePr w:type="band1Horz">
      <w:tblPr/>
      <w:tcPr>
        <w:tcBorders>
          <w:top w:val="single" w:sz="8" w:space="0" w:color="FF6835" w:themeColor="accent3"/>
          <w:left w:val="single" w:sz="8" w:space="0" w:color="FF6835" w:themeColor="accent3"/>
          <w:bottom w:val="single" w:sz="8" w:space="0" w:color="FF6835" w:themeColor="accent3"/>
          <w:right w:val="single" w:sz="8" w:space="0" w:color="FF6835" w:themeColor="accent3"/>
        </w:tcBorders>
      </w:tcPr>
    </w:tblStylePr>
  </w:style>
  <w:style w:type="table" w:styleId="LightList-Accent4">
    <w:name w:val="Light List Accent 4"/>
    <w:basedOn w:val="TableNormal"/>
    <w:uiPriority w:val="61"/>
    <w:rsid w:val="0035044D"/>
    <w:rPr>
      <w:rFonts w:ascii="Times New Roman" w:hAnsi="Times New Roman" w:cs="Times New Roman"/>
      <w:sz w:val="24"/>
      <w:szCs w:val="24"/>
      <w:lang w:val="en-GB"/>
    </w:rPr>
    <w:tblPr>
      <w:tblStyleRowBandSize w:val="1"/>
      <w:tblStyleColBandSize w:val="1"/>
      <w:tblBorders>
        <w:top w:val="single" w:sz="8" w:space="0" w:color="708FFF" w:themeColor="accent4"/>
        <w:left w:val="single" w:sz="8" w:space="0" w:color="708FFF" w:themeColor="accent4"/>
        <w:bottom w:val="single" w:sz="8" w:space="0" w:color="708FFF" w:themeColor="accent4"/>
        <w:right w:val="single" w:sz="8" w:space="0" w:color="708FFF" w:themeColor="accent4"/>
      </w:tblBorders>
    </w:tblPr>
    <w:tblStylePr w:type="firstRow">
      <w:pPr>
        <w:spacing w:before="0" w:after="0" w:line="240" w:lineRule="auto"/>
      </w:pPr>
      <w:rPr>
        <w:b/>
        <w:bCs/>
        <w:color w:val="FFFFFF" w:themeColor="background1"/>
      </w:rPr>
      <w:tblPr/>
      <w:tcPr>
        <w:shd w:val="clear" w:color="auto" w:fill="708FFF" w:themeFill="accent4"/>
      </w:tcPr>
    </w:tblStylePr>
    <w:tblStylePr w:type="lastRow">
      <w:pPr>
        <w:spacing w:before="0" w:after="0" w:line="240" w:lineRule="auto"/>
      </w:pPr>
      <w:rPr>
        <w:b/>
        <w:bCs/>
      </w:rPr>
      <w:tblPr/>
      <w:tcPr>
        <w:tcBorders>
          <w:top w:val="double" w:sz="6" w:space="0" w:color="708FFF" w:themeColor="accent4"/>
          <w:left w:val="single" w:sz="8" w:space="0" w:color="708FFF" w:themeColor="accent4"/>
          <w:bottom w:val="single" w:sz="8" w:space="0" w:color="708FFF" w:themeColor="accent4"/>
          <w:right w:val="single" w:sz="8" w:space="0" w:color="708FFF" w:themeColor="accent4"/>
        </w:tcBorders>
      </w:tcPr>
    </w:tblStylePr>
    <w:tblStylePr w:type="firstCol">
      <w:rPr>
        <w:b/>
        <w:bCs/>
      </w:rPr>
    </w:tblStylePr>
    <w:tblStylePr w:type="lastCol">
      <w:rPr>
        <w:b/>
        <w:bCs/>
      </w:rPr>
    </w:tblStylePr>
    <w:tblStylePr w:type="band1Vert">
      <w:tblPr/>
      <w:tcPr>
        <w:tcBorders>
          <w:top w:val="single" w:sz="8" w:space="0" w:color="708FFF" w:themeColor="accent4"/>
          <w:left w:val="single" w:sz="8" w:space="0" w:color="708FFF" w:themeColor="accent4"/>
          <w:bottom w:val="single" w:sz="8" w:space="0" w:color="708FFF" w:themeColor="accent4"/>
          <w:right w:val="single" w:sz="8" w:space="0" w:color="708FFF" w:themeColor="accent4"/>
        </w:tcBorders>
      </w:tcPr>
    </w:tblStylePr>
    <w:tblStylePr w:type="band1Horz">
      <w:tblPr/>
      <w:tcPr>
        <w:tcBorders>
          <w:top w:val="single" w:sz="8" w:space="0" w:color="708FFF" w:themeColor="accent4"/>
          <w:left w:val="single" w:sz="8" w:space="0" w:color="708FFF" w:themeColor="accent4"/>
          <w:bottom w:val="single" w:sz="8" w:space="0" w:color="708FFF" w:themeColor="accent4"/>
          <w:right w:val="single" w:sz="8" w:space="0" w:color="708FFF" w:themeColor="accent4"/>
        </w:tcBorders>
      </w:tcPr>
    </w:tblStylePr>
  </w:style>
  <w:style w:type="table" w:styleId="LightList-Accent5">
    <w:name w:val="Light List Accent 5"/>
    <w:basedOn w:val="TableNormal"/>
    <w:uiPriority w:val="61"/>
    <w:rsid w:val="0035044D"/>
    <w:rPr>
      <w:rFonts w:ascii="Times New Roman" w:hAnsi="Times New Roman" w:cs="Times New Roman"/>
      <w:sz w:val="24"/>
      <w:szCs w:val="24"/>
      <w:lang w:val="en-GB"/>
    </w:rPr>
    <w:tblPr>
      <w:tblStyleRowBandSize w:val="1"/>
      <w:tblStyleColBandSize w:val="1"/>
      <w:tblBorders>
        <w:top w:val="single" w:sz="8" w:space="0" w:color="46BB51" w:themeColor="accent5"/>
        <w:left w:val="single" w:sz="8" w:space="0" w:color="46BB51" w:themeColor="accent5"/>
        <w:bottom w:val="single" w:sz="8" w:space="0" w:color="46BB51" w:themeColor="accent5"/>
        <w:right w:val="single" w:sz="8" w:space="0" w:color="46BB51" w:themeColor="accent5"/>
      </w:tblBorders>
    </w:tblPr>
    <w:tblStylePr w:type="firstRow">
      <w:pPr>
        <w:spacing w:before="0" w:after="0" w:line="240" w:lineRule="auto"/>
      </w:pPr>
      <w:rPr>
        <w:b/>
        <w:bCs/>
        <w:color w:val="FFFFFF" w:themeColor="background1"/>
      </w:rPr>
      <w:tblPr/>
      <w:tcPr>
        <w:shd w:val="clear" w:color="auto" w:fill="46BB51" w:themeFill="accent5"/>
      </w:tcPr>
    </w:tblStylePr>
    <w:tblStylePr w:type="lastRow">
      <w:pPr>
        <w:spacing w:before="0" w:after="0" w:line="240" w:lineRule="auto"/>
      </w:pPr>
      <w:rPr>
        <w:b/>
        <w:bCs/>
      </w:rPr>
      <w:tblPr/>
      <w:tcPr>
        <w:tcBorders>
          <w:top w:val="double" w:sz="6" w:space="0" w:color="46BB51" w:themeColor="accent5"/>
          <w:left w:val="single" w:sz="8" w:space="0" w:color="46BB51" w:themeColor="accent5"/>
          <w:bottom w:val="single" w:sz="8" w:space="0" w:color="46BB51" w:themeColor="accent5"/>
          <w:right w:val="single" w:sz="8" w:space="0" w:color="46BB51" w:themeColor="accent5"/>
        </w:tcBorders>
      </w:tcPr>
    </w:tblStylePr>
    <w:tblStylePr w:type="firstCol">
      <w:rPr>
        <w:b/>
        <w:bCs/>
      </w:rPr>
    </w:tblStylePr>
    <w:tblStylePr w:type="lastCol">
      <w:rPr>
        <w:b/>
        <w:bCs/>
      </w:rPr>
    </w:tblStylePr>
    <w:tblStylePr w:type="band1Vert">
      <w:tblPr/>
      <w:tcPr>
        <w:tcBorders>
          <w:top w:val="single" w:sz="8" w:space="0" w:color="46BB51" w:themeColor="accent5"/>
          <w:left w:val="single" w:sz="8" w:space="0" w:color="46BB51" w:themeColor="accent5"/>
          <w:bottom w:val="single" w:sz="8" w:space="0" w:color="46BB51" w:themeColor="accent5"/>
          <w:right w:val="single" w:sz="8" w:space="0" w:color="46BB51" w:themeColor="accent5"/>
        </w:tcBorders>
      </w:tcPr>
    </w:tblStylePr>
    <w:tblStylePr w:type="band1Horz">
      <w:tblPr/>
      <w:tcPr>
        <w:tcBorders>
          <w:top w:val="single" w:sz="8" w:space="0" w:color="46BB51" w:themeColor="accent5"/>
          <w:left w:val="single" w:sz="8" w:space="0" w:color="46BB51" w:themeColor="accent5"/>
          <w:bottom w:val="single" w:sz="8" w:space="0" w:color="46BB51" w:themeColor="accent5"/>
          <w:right w:val="single" w:sz="8" w:space="0" w:color="46BB51" w:themeColor="accent5"/>
        </w:tcBorders>
      </w:tcPr>
    </w:tblStylePr>
  </w:style>
  <w:style w:type="table" w:styleId="LightList-Accent6">
    <w:name w:val="Light List Accent 6"/>
    <w:basedOn w:val="TableNormal"/>
    <w:uiPriority w:val="61"/>
    <w:rsid w:val="0035044D"/>
    <w:rPr>
      <w:rFonts w:ascii="Times New Roman" w:hAnsi="Times New Roman" w:cs="Times New Roman"/>
      <w:sz w:val="24"/>
      <w:szCs w:val="24"/>
      <w:lang w:val="en-GB"/>
    </w:rPr>
    <w:tblPr>
      <w:tblStyleRowBandSize w:val="1"/>
      <w:tblStyleColBandSize w:val="1"/>
      <w:tblBorders>
        <w:top w:val="single" w:sz="8" w:space="0" w:color="CCCBBE" w:themeColor="accent6"/>
        <w:left w:val="single" w:sz="8" w:space="0" w:color="CCCBBE" w:themeColor="accent6"/>
        <w:bottom w:val="single" w:sz="8" w:space="0" w:color="CCCBBE" w:themeColor="accent6"/>
        <w:right w:val="single" w:sz="8" w:space="0" w:color="CCCBBE" w:themeColor="accent6"/>
      </w:tblBorders>
    </w:tblPr>
    <w:tblStylePr w:type="firstRow">
      <w:pPr>
        <w:spacing w:before="0" w:after="0" w:line="240" w:lineRule="auto"/>
      </w:pPr>
      <w:rPr>
        <w:b/>
        <w:bCs/>
        <w:color w:val="FFFFFF" w:themeColor="background1"/>
      </w:rPr>
      <w:tblPr/>
      <w:tcPr>
        <w:shd w:val="clear" w:color="auto" w:fill="CCCBBE" w:themeFill="accent6"/>
      </w:tcPr>
    </w:tblStylePr>
    <w:tblStylePr w:type="lastRow">
      <w:pPr>
        <w:spacing w:before="0" w:after="0" w:line="240" w:lineRule="auto"/>
      </w:pPr>
      <w:rPr>
        <w:b/>
        <w:bCs/>
      </w:rPr>
      <w:tblPr/>
      <w:tcPr>
        <w:tcBorders>
          <w:top w:val="double" w:sz="6" w:space="0" w:color="CCCBBE" w:themeColor="accent6"/>
          <w:left w:val="single" w:sz="8" w:space="0" w:color="CCCBBE" w:themeColor="accent6"/>
          <w:bottom w:val="single" w:sz="8" w:space="0" w:color="CCCBBE" w:themeColor="accent6"/>
          <w:right w:val="single" w:sz="8" w:space="0" w:color="CCCBBE" w:themeColor="accent6"/>
        </w:tcBorders>
      </w:tcPr>
    </w:tblStylePr>
    <w:tblStylePr w:type="firstCol">
      <w:rPr>
        <w:b/>
        <w:bCs/>
      </w:rPr>
    </w:tblStylePr>
    <w:tblStylePr w:type="lastCol">
      <w:rPr>
        <w:b/>
        <w:bCs/>
      </w:rPr>
    </w:tblStylePr>
    <w:tblStylePr w:type="band1Vert">
      <w:tblPr/>
      <w:tcPr>
        <w:tcBorders>
          <w:top w:val="single" w:sz="8" w:space="0" w:color="CCCBBE" w:themeColor="accent6"/>
          <w:left w:val="single" w:sz="8" w:space="0" w:color="CCCBBE" w:themeColor="accent6"/>
          <w:bottom w:val="single" w:sz="8" w:space="0" w:color="CCCBBE" w:themeColor="accent6"/>
          <w:right w:val="single" w:sz="8" w:space="0" w:color="CCCBBE" w:themeColor="accent6"/>
        </w:tcBorders>
      </w:tcPr>
    </w:tblStylePr>
    <w:tblStylePr w:type="band1Horz">
      <w:tblPr/>
      <w:tcPr>
        <w:tcBorders>
          <w:top w:val="single" w:sz="8" w:space="0" w:color="CCCBBE" w:themeColor="accent6"/>
          <w:left w:val="single" w:sz="8" w:space="0" w:color="CCCBBE" w:themeColor="accent6"/>
          <w:bottom w:val="single" w:sz="8" w:space="0" w:color="CCCBBE" w:themeColor="accent6"/>
          <w:right w:val="single" w:sz="8" w:space="0" w:color="CCCBBE" w:themeColor="accent6"/>
        </w:tcBorders>
      </w:tcPr>
    </w:tblStylePr>
  </w:style>
  <w:style w:type="table" w:styleId="LightShading">
    <w:name w:val="Light Shading"/>
    <w:basedOn w:val="TableNormal"/>
    <w:uiPriority w:val="60"/>
    <w:rsid w:val="0035044D"/>
    <w:rPr>
      <w:rFonts w:ascii="Times New Roman" w:hAnsi="Times New Roman" w:cs="Times New Roman"/>
      <w:color w:val="000000" w:themeColor="text1" w:themeShade="BF"/>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5044D"/>
    <w:rPr>
      <w:rFonts w:ascii="Times New Roman" w:hAnsi="Times New Roman" w:cs="Times New Roman"/>
      <w:color w:val="A457A0" w:themeColor="accent1" w:themeShade="BF"/>
      <w:sz w:val="24"/>
      <w:szCs w:val="24"/>
      <w:lang w:val="en-GB"/>
    </w:rPr>
    <w:tblPr>
      <w:tblStyleRowBandSize w:val="1"/>
      <w:tblStyleColBandSize w:val="1"/>
      <w:tblBorders>
        <w:top w:val="single" w:sz="8" w:space="0" w:color="C38EC0" w:themeColor="accent1"/>
        <w:bottom w:val="single" w:sz="8" w:space="0" w:color="C38EC0" w:themeColor="accent1"/>
      </w:tblBorders>
    </w:tblPr>
    <w:tblStylePr w:type="firstRow">
      <w:pPr>
        <w:spacing w:before="0" w:after="0" w:line="240" w:lineRule="auto"/>
      </w:pPr>
      <w:rPr>
        <w:b/>
        <w:bCs/>
      </w:rPr>
      <w:tblPr/>
      <w:tcPr>
        <w:tcBorders>
          <w:top w:val="single" w:sz="8" w:space="0" w:color="C38EC0" w:themeColor="accent1"/>
          <w:left w:val="nil"/>
          <w:bottom w:val="single" w:sz="8" w:space="0" w:color="C38EC0" w:themeColor="accent1"/>
          <w:right w:val="nil"/>
          <w:insideH w:val="nil"/>
          <w:insideV w:val="nil"/>
        </w:tcBorders>
      </w:tcPr>
    </w:tblStylePr>
    <w:tblStylePr w:type="lastRow">
      <w:pPr>
        <w:spacing w:before="0" w:after="0" w:line="240" w:lineRule="auto"/>
      </w:pPr>
      <w:rPr>
        <w:b/>
        <w:bCs/>
      </w:rPr>
      <w:tblPr/>
      <w:tcPr>
        <w:tcBorders>
          <w:top w:val="single" w:sz="8" w:space="0" w:color="C38EC0" w:themeColor="accent1"/>
          <w:left w:val="nil"/>
          <w:bottom w:val="single" w:sz="8" w:space="0" w:color="C38E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E2EF" w:themeFill="accent1" w:themeFillTint="3F"/>
      </w:tcPr>
    </w:tblStylePr>
    <w:tblStylePr w:type="band1Horz">
      <w:tblPr/>
      <w:tcPr>
        <w:tcBorders>
          <w:left w:val="nil"/>
          <w:right w:val="nil"/>
          <w:insideH w:val="nil"/>
          <w:insideV w:val="nil"/>
        </w:tcBorders>
        <w:shd w:val="clear" w:color="auto" w:fill="F0E2EF" w:themeFill="accent1" w:themeFillTint="3F"/>
      </w:tcPr>
    </w:tblStylePr>
  </w:style>
  <w:style w:type="table" w:styleId="LightShading-Accent2">
    <w:name w:val="Light Shading Accent 2"/>
    <w:basedOn w:val="TableNormal"/>
    <w:uiPriority w:val="60"/>
    <w:rsid w:val="0035044D"/>
    <w:rPr>
      <w:rFonts w:ascii="Times New Roman" w:hAnsi="Times New Roman" w:cs="Times New Roman"/>
      <w:color w:val="A47E2F" w:themeColor="accent2" w:themeShade="BF"/>
      <w:sz w:val="24"/>
      <w:szCs w:val="24"/>
      <w:lang w:val="en-GB"/>
    </w:rPr>
    <w:tblPr>
      <w:tblStyleRowBandSize w:val="1"/>
      <w:tblStyleColBandSize w:val="1"/>
      <w:tblBorders>
        <w:top w:val="single" w:sz="8" w:space="0" w:color="CCA44F" w:themeColor="accent2"/>
        <w:bottom w:val="single" w:sz="8" w:space="0" w:color="CCA44F" w:themeColor="accent2"/>
      </w:tblBorders>
    </w:tblPr>
    <w:tblStylePr w:type="firstRow">
      <w:pPr>
        <w:spacing w:before="0" w:after="0" w:line="240" w:lineRule="auto"/>
      </w:pPr>
      <w:rPr>
        <w:b/>
        <w:bCs/>
      </w:rPr>
      <w:tblPr/>
      <w:tcPr>
        <w:tcBorders>
          <w:top w:val="single" w:sz="8" w:space="0" w:color="CCA44F" w:themeColor="accent2"/>
          <w:left w:val="nil"/>
          <w:bottom w:val="single" w:sz="8" w:space="0" w:color="CCA44F" w:themeColor="accent2"/>
          <w:right w:val="nil"/>
          <w:insideH w:val="nil"/>
          <w:insideV w:val="nil"/>
        </w:tcBorders>
      </w:tcPr>
    </w:tblStylePr>
    <w:tblStylePr w:type="lastRow">
      <w:pPr>
        <w:spacing w:before="0" w:after="0" w:line="240" w:lineRule="auto"/>
      </w:pPr>
      <w:rPr>
        <w:b/>
        <w:bCs/>
      </w:rPr>
      <w:tblPr/>
      <w:tcPr>
        <w:tcBorders>
          <w:top w:val="single" w:sz="8" w:space="0" w:color="CCA44F" w:themeColor="accent2"/>
          <w:left w:val="nil"/>
          <w:bottom w:val="single" w:sz="8" w:space="0" w:color="CCA44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8D3" w:themeFill="accent2" w:themeFillTint="3F"/>
      </w:tcPr>
    </w:tblStylePr>
    <w:tblStylePr w:type="band1Horz">
      <w:tblPr/>
      <w:tcPr>
        <w:tcBorders>
          <w:left w:val="nil"/>
          <w:right w:val="nil"/>
          <w:insideH w:val="nil"/>
          <w:insideV w:val="nil"/>
        </w:tcBorders>
        <w:shd w:val="clear" w:color="auto" w:fill="F2E8D3" w:themeFill="accent2" w:themeFillTint="3F"/>
      </w:tcPr>
    </w:tblStylePr>
  </w:style>
  <w:style w:type="table" w:styleId="LightShading-Accent3">
    <w:name w:val="Light Shading Accent 3"/>
    <w:basedOn w:val="TableNormal"/>
    <w:uiPriority w:val="60"/>
    <w:rsid w:val="0035044D"/>
    <w:rPr>
      <w:rFonts w:ascii="Times New Roman" w:hAnsi="Times New Roman" w:cs="Times New Roman"/>
      <w:color w:val="E63900" w:themeColor="accent3" w:themeShade="BF"/>
      <w:sz w:val="24"/>
      <w:szCs w:val="24"/>
      <w:lang w:val="en-GB"/>
    </w:rPr>
    <w:tblPr>
      <w:tblStyleRowBandSize w:val="1"/>
      <w:tblStyleColBandSize w:val="1"/>
      <w:tblBorders>
        <w:top w:val="single" w:sz="8" w:space="0" w:color="FF6835" w:themeColor="accent3"/>
        <w:bottom w:val="single" w:sz="8" w:space="0" w:color="FF6835" w:themeColor="accent3"/>
      </w:tblBorders>
    </w:tblPr>
    <w:tblStylePr w:type="firstRow">
      <w:pPr>
        <w:spacing w:before="0" w:after="0" w:line="240" w:lineRule="auto"/>
      </w:pPr>
      <w:rPr>
        <w:b/>
        <w:bCs/>
      </w:rPr>
      <w:tblPr/>
      <w:tcPr>
        <w:tcBorders>
          <w:top w:val="single" w:sz="8" w:space="0" w:color="FF6835" w:themeColor="accent3"/>
          <w:left w:val="nil"/>
          <w:bottom w:val="single" w:sz="8" w:space="0" w:color="FF6835" w:themeColor="accent3"/>
          <w:right w:val="nil"/>
          <w:insideH w:val="nil"/>
          <w:insideV w:val="nil"/>
        </w:tcBorders>
      </w:tcPr>
    </w:tblStylePr>
    <w:tblStylePr w:type="lastRow">
      <w:pPr>
        <w:spacing w:before="0" w:after="0" w:line="240" w:lineRule="auto"/>
      </w:pPr>
      <w:rPr>
        <w:b/>
        <w:bCs/>
      </w:rPr>
      <w:tblPr/>
      <w:tcPr>
        <w:tcBorders>
          <w:top w:val="single" w:sz="8" w:space="0" w:color="FF6835" w:themeColor="accent3"/>
          <w:left w:val="nil"/>
          <w:bottom w:val="single" w:sz="8" w:space="0" w:color="FF68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D" w:themeFill="accent3" w:themeFillTint="3F"/>
      </w:tcPr>
    </w:tblStylePr>
    <w:tblStylePr w:type="band1Horz">
      <w:tblPr/>
      <w:tcPr>
        <w:tcBorders>
          <w:left w:val="nil"/>
          <w:right w:val="nil"/>
          <w:insideH w:val="nil"/>
          <w:insideV w:val="nil"/>
        </w:tcBorders>
        <w:shd w:val="clear" w:color="auto" w:fill="FFD9CD" w:themeFill="accent3" w:themeFillTint="3F"/>
      </w:tcPr>
    </w:tblStylePr>
  </w:style>
  <w:style w:type="table" w:styleId="LightShading-Accent4">
    <w:name w:val="Light Shading Accent 4"/>
    <w:basedOn w:val="TableNormal"/>
    <w:uiPriority w:val="60"/>
    <w:rsid w:val="0035044D"/>
    <w:rPr>
      <w:rFonts w:ascii="Times New Roman" w:hAnsi="Times New Roman" w:cs="Times New Roman"/>
      <w:color w:val="1346FF" w:themeColor="accent4" w:themeShade="BF"/>
      <w:sz w:val="24"/>
      <w:szCs w:val="24"/>
      <w:lang w:val="en-GB"/>
    </w:rPr>
    <w:tblPr>
      <w:tblStyleRowBandSize w:val="1"/>
      <w:tblStyleColBandSize w:val="1"/>
      <w:tblBorders>
        <w:top w:val="single" w:sz="8" w:space="0" w:color="708FFF" w:themeColor="accent4"/>
        <w:bottom w:val="single" w:sz="8" w:space="0" w:color="708FFF" w:themeColor="accent4"/>
      </w:tblBorders>
    </w:tblPr>
    <w:tblStylePr w:type="firstRow">
      <w:pPr>
        <w:spacing w:before="0" w:after="0" w:line="240" w:lineRule="auto"/>
      </w:pPr>
      <w:rPr>
        <w:b/>
        <w:bCs/>
      </w:rPr>
      <w:tblPr/>
      <w:tcPr>
        <w:tcBorders>
          <w:top w:val="single" w:sz="8" w:space="0" w:color="708FFF" w:themeColor="accent4"/>
          <w:left w:val="nil"/>
          <w:bottom w:val="single" w:sz="8" w:space="0" w:color="708FFF" w:themeColor="accent4"/>
          <w:right w:val="nil"/>
          <w:insideH w:val="nil"/>
          <w:insideV w:val="nil"/>
        </w:tcBorders>
      </w:tcPr>
    </w:tblStylePr>
    <w:tblStylePr w:type="lastRow">
      <w:pPr>
        <w:spacing w:before="0" w:after="0" w:line="240" w:lineRule="auto"/>
      </w:pPr>
      <w:rPr>
        <w:b/>
        <w:bCs/>
      </w:rPr>
      <w:tblPr/>
      <w:tcPr>
        <w:tcBorders>
          <w:top w:val="single" w:sz="8" w:space="0" w:color="708FFF" w:themeColor="accent4"/>
          <w:left w:val="nil"/>
          <w:bottom w:val="single" w:sz="8" w:space="0" w:color="708F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3FF" w:themeFill="accent4" w:themeFillTint="3F"/>
      </w:tcPr>
    </w:tblStylePr>
    <w:tblStylePr w:type="band1Horz">
      <w:tblPr/>
      <w:tcPr>
        <w:tcBorders>
          <w:left w:val="nil"/>
          <w:right w:val="nil"/>
          <w:insideH w:val="nil"/>
          <w:insideV w:val="nil"/>
        </w:tcBorders>
        <w:shd w:val="clear" w:color="auto" w:fill="DBE3FF" w:themeFill="accent4" w:themeFillTint="3F"/>
      </w:tcPr>
    </w:tblStylePr>
  </w:style>
  <w:style w:type="table" w:styleId="LightShading-Accent5">
    <w:name w:val="Light Shading Accent 5"/>
    <w:basedOn w:val="TableNormal"/>
    <w:uiPriority w:val="60"/>
    <w:rsid w:val="0035044D"/>
    <w:rPr>
      <w:rFonts w:ascii="Times New Roman" w:hAnsi="Times New Roman" w:cs="Times New Roman"/>
      <w:color w:val="338C3B" w:themeColor="accent5" w:themeShade="BF"/>
      <w:sz w:val="24"/>
      <w:szCs w:val="24"/>
      <w:lang w:val="en-GB"/>
    </w:rPr>
    <w:tblPr>
      <w:tblStyleRowBandSize w:val="1"/>
      <w:tblStyleColBandSize w:val="1"/>
      <w:tblBorders>
        <w:top w:val="single" w:sz="8" w:space="0" w:color="46BB51" w:themeColor="accent5"/>
        <w:bottom w:val="single" w:sz="8" w:space="0" w:color="46BB51" w:themeColor="accent5"/>
      </w:tblBorders>
    </w:tblPr>
    <w:tblStylePr w:type="firstRow">
      <w:pPr>
        <w:spacing w:before="0" w:after="0" w:line="240" w:lineRule="auto"/>
      </w:pPr>
      <w:rPr>
        <w:b/>
        <w:bCs/>
      </w:rPr>
      <w:tblPr/>
      <w:tcPr>
        <w:tcBorders>
          <w:top w:val="single" w:sz="8" w:space="0" w:color="46BB51" w:themeColor="accent5"/>
          <w:left w:val="nil"/>
          <w:bottom w:val="single" w:sz="8" w:space="0" w:color="46BB51" w:themeColor="accent5"/>
          <w:right w:val="nil"/>
          <w:insideH w:val="nil"/>
          <w:insideV w:val="nil"/>
        </w:tcBorders>
      </w:tcPr>
    </w:tblStylePr>
    <w:tblStylePr w:type="lastRow">
      <w:pPr>
        <w:spacing w:before="0" w:after="0" w:line="240" w:lineRule="auto"/>
      </w:pPr>
      <w:rPr>
        <w:b/>
        <w:bCs/>
      </w:rPr>
      <w:tblPr/>
      <w:tcPr>
        <w:tcBorders>
          <w:top w:val="single" w:sz="8" w:space="0" w:color="46BB51" w:themeColor="accent5"/>
          <w:left w:val="nil"/>
          <w:bottom w:val="single" w:sz="8" w:space="0" w:color="46BB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ED3" w:themeFill="accent5" w:themeFillTint="3F"/>
      </w:tcPr>
    </w:tblStylePr>
    <w:tblStylePr w:type="band1Horz">
      <w:tblPr/>
      <w:tcPr>
        <w:tcBorders>
          <w:left w:val="nil"/>
          <w:right w:val="nil"/>
          <w:insideH w:val="nil"/>
          <w:insideV w:val="nil"/>
        </w:tcBorders>
        <w:shd w:val="clear" w:color="auto" w:fill="D1EED3" w:themeFill="accent5" w:themeFillTint="3F"/>
      </w:tcPr>
    </w:tblStylePr>
  </w:style>
  <w:style w:type="table" w:styleId="LightShading-Accent6">
    <w:name w:val="Light Shading Accent 6"/>
    <w:basedOn w:val="TableNormal"/>
    <w:uiPriority w:val="60"/>
    <w:rsid w:val="0035044D"/>
    <w:rPr>
      <w:rFonts w:ascii="Times New Roman" w:hAnsi="Times New Roman" w:cs="Times New Roman"/>
      <w:color w:val="A09E86" w:themeColor="accent6" w:themeShade="BF"/>
      <w:sz w:val="24"/>
      <w:szCs w:val="24"/>
      <w:lang w:val="en-GB"/>
    </w:rPr>
    <w:tblPr>
      <w:tblStyleRowBandSize w:val="1"/>
      <w:tblStyleColBandSize w:val="1"/>
      <w:tblBorders>
        <w:top w:val="single" w:sz="8" w:space="0" w:color="CCCBBE" w:themeColor="accent6"/>
        <w:bottom w:val="single" w:sz="8" w:space="0" w:color="CCCBBE" w:themeColor="accent6"/>
      </w:tblBorders>
    </w:tblPr>
    <w:tblStylePr w:type="firstRow">
      <w:pPr>
        <w:spacing w:before="0" w:after="0" w:line="240" w:lineRule="auto"/>
      </w:pPr>
      <w:rPr>
        <w:b/>
        <w:bCs/>
      </w:rPr>
      <w:tblPr/>
      <w:tcPr>
        <w:tcBorders>
          <w:top w:val="single" w:sz="8" w:space="0" w:color="CCCBBE" w:themeColor="accent6"/>
          <w:left w:val="nil"/>
          <w:bottom w:val="single" w:sz="8" w:space="0" w:color="CCCBBE" w:themeColor="accent6"/>
          <w:right w:val="nil"/>
          <w:insideH w:val="nil"/>
          <w:insideV w:val="nil"/>
        </w:tcBorders>
      </w:tcPr>
    </w:tblStylePr>
    <w:tblStylePr w:type="lastRow">
      <w:pPr>
        <w:spacing w:before="0" w:after="0" w:line="240" w:lineRule="auto"/>
      </w:pPr>
      <w:rPr>
        <w:b/>
        <w:bCs/>
      </w:rPr>
      <w:tblPr/>
      <w:tcPr>
        <w:tcBorders>
          <w:top w:val="single" w:sz="8" w:space="0" w:color="CCCBBE" w:themeColor="accent6"/>
          <w:left w:val="nil"/>
          <w:bottom w:val="single" w:sz="8" w:space="0" w:color="CCCBB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2EE" w:themeFill="accent6" w:themeFillTint="3F"/>
      </w:tcPr>
    </w:tblStylePr>
    <w:tblStylePr w:type="band1Horz">
      <w:tblPr/>
      <w:tcPr>
        <w:tcBorders>
          <w:left w:val="nil"/>
          <w:right w:val="nil"/>
          <w:insideH w:val="nil"/>
          <w:insideV w:val="nil"/>
        </w:tcBorders>
        <w:shd w:val="clear" w:color="auto" w:fill="F2F2EE" w:themeFill="accent6" w:themeFillTint="3F"/>
      </w:tcPr>
    </w:tblStylePr>
  </w:style>
  <w:style w:type="character" w:styleId="LineNumber">
    <w:name w:val="line number"/>
    <w:basedOn w:val="DefaultParagraphFont"/>
    <w:uiPriority w:val="99"/>
    <w:semiHidden/>
    <w:rsid w:val="0035044D"/>
    <w:rPr>
      <w:lang w:val="en-GB"/>
    </w:rPr>
  </w:style>
  <w:style w:type="paragraph" w:styleId="MacroText">
    <w:name w:val="macro"/>
    <w:link w:val="MacroTextChar"/>
    <w:uiPriority w:val="99"/>
    <w:semiHidden/>
    <w:rsid w:val="0035044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rPr>
  </w:style>
  <w:style w:type="character" w:customStyle="1" w:styleId="MacroTextChar">
    <w:name w:val="Macro Text Char"/>
    <w:basedOn w:val="DefaultParagraphFont"/>
    <w:link w:val="MacroText"/>
    <w:uiPriority w:val="99"/>
    <w:semiHidden/>
    <w:rsid w:val="0035044D"/>
    <w:rPr>
      <w:rFonts w:ascii="Consolas" w:eastAsia="Times New Roman" w:hAnsi="Consolas" w:cs="Consolas"/>
      <w:sz w:val="20"/>
      <w:szCs w:val="20"/>
      <w:lang w:val="en-GB"/>
    </w:rPr>
  </w:style>
  <w:style w:type="table" w:styleId="MediumGrid1">
    <w:name w:val="Medium Grid 1"/>
    <w:basedOn w:val="TableNormal"/>
    <w:uiPriority w:val="67"/>
    <w:rsid w:val="0035044D"/>
    <w:rPr>
      <w:rFonts w:ascii="Times New Roman" w:hAnsi="Times New Roman" w:cs="Times New Roman"/>
      <w:sz w:val="24"/>
      <w:szCs w:val="24"/>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5044D"/>
    <w:rPr>
      <w:rFonts w:ascii="Times New Roman" w:hAnsi="Times New Roman" w:cs="Times New Roman"/>
      <w:sz w:val="24"/>
      <w:szCs w:val="24"/>
      <w:lang w:val="en-GB"/>
    </w:rPr>
    <w:tblPr>
      <w:tblStyleRowBandSize w:val="1"/>
      <w:tblStyleColBandSize w:val="1"/>
      <w:tblBorders>
        <w:top w:val="single" w:sz="8" w:space="0" w:color="D2AACF" w:themeColor="accent1" w:themeTint="BF"/>
        <w:left w:val="single" w:sz="8" w:space="0" w:color="D2AACF" w:themeColor="accent1" w:themeTint="BF"/>
        <w:bottom w:val="single" w:sz="8" w:space="0" w:color="D2AACF" w:themeColor="accent1" w:themeTint="BF"/>
        <w:right w:val="single" w:sz="8" w:space="0" w:color="D2AACF" w:themeColor="accent1" w:themeTint="BF"/>
        <w:insideH w:val="single" w:sz="8" w:space="0" w:color="D2AACF" w:themeColor="accent1" w:themeTint="BF"/>
        <w:insideV w:val="single" w:sz="8" w:space="0" w:color="D2AACF" w:themeColor="accent1" w:themeTint="BF"/>
      </w:tblBorders>
    </w:tblPr>
    <w:tcPr>
      <w:shd w:val="clear" w:color="auto" w:fill="F0E2EF" w:themeFill="accent1" w:themeFillTint="3F"/>
    </w:tcPr>
    <w:tblStylePr w:type="firstRow">
      <w:rPr>
        <w:b/>
        <w:bCs/>
      </w:rPr>
    </w:tblStylePr>
    <w:tblStylePr w:type="lastRow">
      <w:rPr>
        <w:b/>
        <w:bCs/>
      </w:rPr>
      <w:tblPr/>
      <w:tcPr>
        <w:tcBorders>
          <w:top w:val="single" w:sz="18" w:space="0" w:color="D2AACF" w:themeColor="accent1" w:themeTint="BF"/>
        </w:tcBorders>
      </w:tcPr>
    </w:tblStylePr>
    <w:tblStylePr w:type="firstCol">
      <w:rPr>
        <w:b/>
        <w:bCs/>
      </w:rPr>
    </w:tblStylePr>
    <w:tblStylePr w:type="lastCol">
      <w:rPr>
        <w:b/>
        <w:bCs/>
      </w:rPr>
    </w:tblStylePr>
    <w:tblStylePr w:type="band1Vert">
      <w:tblPr/>
      <w:tcPr>
        <w:shd w:val="clear" w:color="auto" w:fill="E1C6DF" w:themeFill="accent1" w:themeFillTint="7F"/>
      </w:tcPr>
    </w:tblStylePr>
    <w:tblStylePr w:type="band1Horz">
      <w:tblPr/>
      <w:tcPr>
        <w:shd w:val="clear" w:color="auto" w:fill="E1C6DF" w:themeFill="accent1" w:themeFillTint="7F"/>
      </w:tcPr>
    </w:tblStylePr>
  </w:style>
  <w:style w:type="table" w:styleId="MediumGrid1-Accent2">
    <w:name w:val="Medium Grid 1 Accent 2"/>
    <w:basedOn w:val="TableNormal"/>
    <w:uiPriority w:val="67"/>
    <w:rsid w:val="0035044D"/>
    <w:rPr>
      <w:rFonts w:ascii="Times New Roman" w:hAnsi="Times New Roman" w:cs="Times New Roman"/>
      <w:sz w:val="24"/>
      <w:szCs w:val="24"/>
      <w:lang w:val="en-GB"/>
    </w:rPr>
    <w:tblPr>
      <w:tblStyleRowBandSize w:val="1"/>
      <w:tblStyleColBandSize w:val="1"/>
      <w:tblBorders>
        <w:top w:val="single" w:sz="8" w:space="0" w:color="D8BA7A" w:themeColor="accent2" w:themeTint="BF"/>
        <w:left w:val="single" w:sz="8" w:space="0" w:color="D8BA7A" w:themeColor="accent2" w:themeTint="BF"/>
        <w:bottom w:val="single" w:sz="8" w:space="0" w:color="D8BA7A" w:themeColor="accent2" w:themeTint="BF"/>
        <w:right w:val="single" w:sz="8" w:space="0" w:color="D8BA7A" w:themeColor="accent2" w:themeTint="BF"/>
        <w:insideH w:val="single" w:sz="8" w:space="0" w:color="D8BA7A" w:themeColor="accent2" w:themeTint="BF"/>
        <w:insideV w:val="single" w:sz="8" w:space="0" w:color="D8BA7A" w:themeColor="accent2" w:themeTint="BF"/>
      </w:tblBorders>
    </w:tblPr>
    <w:tcPr>
      <w:shd w:val="clear" w:color="auto" w:fill="F2E8D3" w:themeFill="accent2" w:themeFillTint="3F"/>
    </w:tcPr>
    <w:tblStylePr w:type="firstRow">
      <w:rPr>
        <w:b/>
        <w:bCs/>
      </w:rPr>
    </w:tblStylePr>
    <w:tblStylePr w:type="lastRow">
      <w:rPr>
        <w:b/>
        <w:bCs/>
      </w:rPr>
      <w:tblPr/>
      <w:tcPr>
        <w:tcBorders>
          <w:top w:val="single" w:sz="18" w:space="0" w:color="D8BA7A" w:themeColor="accent2" w:themeTint="BF"/>
        </w:tcBorders>
      </w:tcPr>
    </w:tblStylePr>
    <w:tblStylePr w:type="firstCol">
      <w:rPr>
        <w:b/>
        <w:bCs/>
      </w:rPr>
    </w:tblStylePr>
    <w:tblStylePr w:type="lastCol">
      <w:rPr>
        <w:b/>
        <w:bCs/>
      </w:rPr>
    </w:tblStylePr>
    <w:tblStylePr w:type="band1Vert">
      <w:tblPr/>
      <w:tcPr>
        <w:shd w:val="clear" w:color="auto" w:fill="E5D1A7" w:themeFill="accent2" w:themeFillTint="7F"/>
      </w:tcPr>
    </w:tblStylePr>
    <w:tblStylePr w:type="band1Horz">
      <w:tblPr/>
      <w:tcPr>
        <w:shd w:val="clear" w:color="auto" w:fill="E5D1A7" w:themeFill="accent2" w:themeFillTint="7F"/>
      </w:tcPr>
    </w:tblStylePr>
  </w:style>
  <w:style w:type="table" w:styleId="MediumGrid1-Accent3">
    <w:name w:val="Medium Grid 1 Accent 3"/>
    <w:basedOn w:val="TableNormal"/>
    <w:uiPriority w:val="67"/>
    <w:rsid w:val="0035044D"/>
    <w:rPr>
      <w:rFonts w:ascii="Times New Roman" w:hAnsi="Times New Roman" w:cs="Times New Roman"/>
      <w:sz w:val="24"/>
      <w:szCs w:val="24"/>
      <w:lang w:val="en-GB"/>
    </w:rPr>
    <w:tblPr>
      <w:tblStyleRowBandSize w:val="1"/>
      <w:tblStyleColBandSize w:val="1"/>
      <w:tblBorders>
        <w:top w:val="single" w:sz="8" w:space="0" w:color="FF8D67" w:themeColor="accent3" w:themeTint="BF"/>
        <w:left w:val="single" w:sz="8" w:space="0" w:color="FF8D67" w:themeColor="accent3" w:themeTint="BF"/>
        <w:bottom w:val="single" w:sz="8" w:space="0" w:color="FF8D67" w:themeColor="accent3" w:themeTint="BF"/>
        <w:right w:val="single" w:sz="8" w:space="0" w:color="FF8D67" w:themeColor="accent3" w:themeTint="BF"/>
        <w:insideH w:val="single" w:sz="8" w:space="0" w:color="FF8D67" w:themeColor="accent3" w:themeTint="BF"/>
        <w:insideV w:val="single" w:sz="8" w:space="0" w:color="FF8D67" w:themeColor="accent3" w:themeTint="BF"/>
      </w:tblBorders>
    </w:tblPr>
    <w:tcPr>
      <w:shd w:val="clear" w:color="auto" w:fill="FFD9CD" w:themeFill="accent3" w:themeFillTint="3F"/>
    </w:tcPr>
    <w:tblStylePr w:type="firstRow">
      <w:rPr>
        <w:b/>
        <w:bCs/>
      </w:rPr>
    </w:tblStylePr>
    <w:tblStylePr w:type="lastRow">
      <w:rPr>
        <w:b/>
        <w:bCs/>
      </w:rPr>
      <w:tblPr/>
      <w:tcPr>
        <w:tcBorders>
          <w:top w:val="single" w:sz="18" w:space="0" w:color="FF8D67" w:themeColor="accent3" w:themeTint="BF"/>
        </w:tcBorders>
      </w:tcPr>
    </w:tblStylePr>
    <w:tblStylePr w:type="firstCol">
      <w:rPr>
        <w:b/>
        <w:bCs/>
      </w:rPr>
    </w:tblStylePr>
    <w:tblStylePr w:type="lastCol">
      <w:rPr>
        <w:b/>
        <w:bCs/>
      </w:rPr>
    </w:tblStylePr>
    <w:tblStylePr w:type="band1Vert">
      <w:tblPr/>
      <w:tcPr>
        <w:shd w:val="clear" w:color="auto" w:fill="FFB39A" w:themeFill="accent3" w:themeFillTint="7F"/>
      </w:tcPr>
    </w:tblStylePr>
    <w:tblStylePr w:type="band1Horz">
      <w:tblPr/>
      <w:tcPr>
        <w:shd w:val="clear" w:color="auto" w:fill="FFB39A" w:themeFill="accent3" w:themeFillTint="7F"/>
      </w:tcPr>
    </w:tblStylePr>
  </w:style>
  <w:style w:type="table" w:styleId="MediumGrid1-Accent4">
    <w:name w:val="Medium Grid 1 Accent 4"/>
    <w:basedOn w:val="TableNormal"/>
    <w:uiPriority w:val="67"/>
    <w:rsid w:val="0035044D"/>
    <w:rPr>
      <w:rFonts w:ascii="Times New Roman" w:hAnsi="Times New Roman" w:cs="Times New Roman"/>
      <w:sz w:val="24"/>
      <w:szCs w:val="24"/>
      <w:lang w:val="en-GB"/>
    </w:rPr>
    <w:tblPr>
      <w:tblStyleRowBandSize w:val="1"/>
      <w:tblStyleColBandSize w:val="1"/>
      <w:tblBorders>
        <w:top w:val="single" w:sz="8" w:space="0" w:color="93AAFF" w:themeColor="accent4" w:themeTint="BF"/>
        <w:left w:val="single" w:sz="8" w:space="0" w:color="93AAFF" w:themeColor="accent4" w:themeTint="BF"/>
        <w:bottom w:val="single" w:sz="8" w:space="0" w:color="93AAFF" w:themeColor="accent4" w:themeTint="BF"/>
        <w:right w:val="single" w:sz="8" w:space="0" w:color="93AAFF" w:themeColor="accent4" w:themeTint="BF"/>
        <w:insideH w:val="single" w:sz="8" w:space="0" w:color="93AAFF" w:themeColor="accent4" w:themeTint="BF"/>
        <w:insideV w:val="single" w:sz="8" w:space="0" w:color="93AAFF" w:themeColor="accent4" w:themeTint="BF"/>
      </w:tblBorders>
    </w:tblPr>
    <w:tcPr>
      <w:shd w:val="clear" w:color="auto" w:fill="DBE3FF" w:themeFill="accent4" w:themeFillTint="3F"/>
    </w:tcPr>
    <w:tblStylePr w:type="firstRow">
      <w:rPr>
        <w:b/>
        <w:bCs/>
      </w:rPr>
    </w:tblStylePr>
    <w:tblStylePr w:type="lastRow">
      <w:rPr>
        <w:b/>
        <w:bCs/>
      </w:rPr>
      <w:tblPr/>
      <w:tcPr>
        <w:tcBorders>
          <w:top w:val="single" w:sz="18" w:space="0" w:color="93AAFF" w:themeColor="accent4" w:themeTint="BF"/>
        </w:tcBorders>
      </w:tcPr>
    </w:tblStylePr>
    <w:tblStylePr w:type="firstCol">
      <w:rPr>
        <w:b/>
        <w:bCs/>
      </w:rPr>
    </w:tblStylePr>
    <w:tblStylePr w:type="lastCol">
      <w:rPr>
        <w:b/>
        <w:bCs/>
      </w:rPr>
    </w:tblStylePr>
    <w:tblStylePr w:type="band1Vert">
      <w:tblPr/>
      <w:tcPr>
        <w:shd w:val="clear" w:color="auto" w:fill="B7C7FF" w:themeFill="accent4" w:themeFillTint="7F"/>
      </w:tcPr>
    </w:tblStylePr>
    <w:tblStylePr w:type="band1Horz">
      <w:tblPr/>
      <w:tcPr>
        <w:shd w:val="clear" w:color="auto" w:fill="B7C7FF" w:themeFill="accent4" w:themeFillTint="7F"/>
      </w:tcPr>
    </w:tblStylePr>
  </w:style>
  <w:style w:type="table" w:styleId="MediumGrid1-Accent5">
    <w:name w:val="Medium Grid 1 Accent 5"/>
    <w:basedOn w:val="TableNormal"/>
    <w:uiPriority w:val="67"/>
    <w:rsid w:val="0035044D"/>
    <w:rPr>
      <w:rFonts w:ascii="Times New Roman" w:hAnsi="Times New Roman" w:cs="Times New Roman"/>
      <w:sz w:val="24"/>
      <w:szCs w:val="24"/>
      <w:lang w:val="en-GB"/>
    </w:rPr>
    <w:tblPr>
      <w:tblStyleRowBandSize w:val="1"/>
      <w:tblStyleColBandSize w:val="1"/>
      <w:tblBorders>
        <w:top w:val="single" w:sz="8" w:space="0" w:color="74CC7C" w:themeColor="accent5" w:themeTint="BF"/>
        <w:left w:val="single" w:sz="8" w:space="0" w:color="74CC7C" w:themeColor="accent5" w:themeTint="BF"/>
        <w:bottom w:val="single" w:sz="8" w:space="0" w:color="74CC7C" w:themeColor="accent5" w:themeTint="BF"/>
        <w:right w:val="single" w:sz="8" w:space="0" w:color="74CC7C" w:themeColor="accent5" w:themeTint="BF"/>
        <w:insideH w:val="single" w:sz="8" w:space="0" w:color="74CC7C" w:themeColor="accent5" w:themeTint="BF"/>
        <w:insideV w:val="single" w:sz="8" w:space="0" w:color="74CC7C" w:themeColor="accent5" w:themeTint="BF"/>
      </w:tblBorders>
    </w:tblPr>
    <w:tcPr>
      <w:shd w:val="clear" w:color="auto" w:fill="D1EED3" w:themeFill="accent5" w:themeFillTint="3F"/>
    </w:tcPr>
    <w:tblStylePr w:type="firstRow">
      <w:rPr>
        <w:b/>
        <w:bCs/>
      </w:rPr>
    </w:tblStylePr>
    <w:tblStylePr w:type="lastRow">
      <w:rPr>
        <w:b/>
        <w:bCs/>
      </w:rPr>
      <w:tblPr/>
      <w:tcPr>
        <w:tcBorders>
          <w:top w:val="single" w:sz="18" w:space="0" w:color="74CC7C" w:themeColor="accent5" w:themeTint="BF"/>
        </w:tcBorders>
      </w:tcPr>
    </w:tblStylePr>
    <w:tblStylePr w:type="firstCol">
      <w:rPr>
        <w:b/>
        <w:bCs/>
      </w:rPr>
    </w:tblStylePr>
    <w:tblStylePr w:type="lastCol">
      <w:rPr>
        <w:b/>
        <w:bCs/>
      </w:rPr>
    </w:tblStylePr>
    <w:tblStylePr w:type="band1Vert">
      <w:tblPr/>
      <w:tcPr>
        <w:shd w:val="clear" w:color="auto" w:fill="A2DDA7" w:themeFill="accent5" w:themeFillTint="7F"/>
      </w:tcPr>
    </w:tblStylePr>
    <w:tblStylePr w:type="band1Horz">
      <w:tblPr/>
      <w:tcPr>
        <w:shd w:val="clear" w:color="auto" w:fill="A2DDA7" w:themeFill="accent5" w:themeFillTint="7F"/>
      </w:tcPr>
    </w:tblStylePr>
  </w:style>
  <w:style w:type="table" w:styleId="MediumGrid1-Accent6">
    <w:name w:val="Medium Grid 1 Accent 6"/>
    <w:basedOn w:val="TableNormal"/>
    <w:uiPriority w:val="67"/>
    <w:rsid w:val="0035044D"/>
    <w:rPr>
      <w:rFonts w:ascii="Times New Roman" w:hAnsi="Times New Roman" w:cs="Times New Roman"/>
      <w:sz w:val="24"/>
      <w:szCs w:val="24"/>
      <w:lang w:val="en-GB"/>
    </w:rPr>
    <w:tblPr>
      <w:tblStyleRowBandSize w:val="1"/>
      <w:tblStyleColBandSize w:val="1"/>
      <w:tblBorders>
        <w:top w:val="single" w:sz="8" w:space="0" w:color="D8D8CE" w:themeColor="accent6" w:themeTint="BF"/>
        <w:left w:val="single" w:sz="8" w:space="0" w:color="D8D8CE" w:themeColor="accent6" w:themeTint="BF"/>
        <w:bottom w:val="single" w:sz="8" w:space="0" w:color="D8D8CE" w:themeColor="accent6" w:themeTint="BF"/>
        <w:right w:val="single" w:sz="8" w:space="0" w:color="D8D8CE" w:themeColor="accent6" w:themeTint="BF"/>
        <w:insideH w:val="single" w:sz="8" w:space="0" w:color="D8D8CE" w:themeColor="accent6" w:themeTint="BF"/>
        <w:insideV w:val="single" w:sz="8" w:space="0" w:color="D8D8CE" w:themeColor="accent6" w:themeTint="BF"/>
      </w:tblBorders>
    </w:tblPr>
    <w:tcPr>
      <w:shd w:val="clear" w:color="auto" w:fill="F2F2EE" w:themeFill="accent6" w:themeFillTint="3F"/>
    </w:tcPr>
    <w:tblStylePr w:type="firstRow">
      <w:rPr>
        <w:b/>
        <w:bCs/>
      </w:rPr>
    </w:tblStylePr>
    <w:tblStylePr w:type="lastRow">
      <w:rPr>
        <w:b/>
        <w:bCs/>
      </w:rPr>
      <w:tblPr/>
      <w:tcPr>
        <w:tcBorders>
          <w:top w:val="single" w:sz="18" w:space="0" w:color="D8D8CE" w:themeColor="accent6" w:themeTint="BF"/>
        </w:tcBorders>
      </w:tcPr>
    </w:tblStylePr>
    <w:tblStylePr w:type="firstCol">
      <w:rPr>
        <w:b/>
        <w:bCs/>
      </w:rPr>
    </w:tblStylePr>
    <w:tblStylePr w:type="lastCol">
      <w:rPr>
        <w:b/>
        <w:bCs/>
      </w:rPr>
    </w:tblStylePr>
    <w:tblStylePr w:type="band1Vert">
      <w:tblPr/>
      <w:tcPr>
        <w:shd w:val="clear" w:color="auto" w:fill="E5E4DE" w:themeFill="accent6" w:themeFillTint="7F"/>
      </w:tcPr>
    </w:tblStylePr>
    <w:tblStylePr w:type="band1Horz">
      <w:tblPr/>
      <w:tcPr>
        <w:shd w:val="clear" w:color="auto" w:fill="E5E4DE" w:themeFill="accent6" w:themeFillTint="7F"/>
      </w:tcPr>
    </w:tblStylePr>
  </w:style>
  <w:style w:type="table" w:styleId="MediumGrid2">
    <w:name w:val="Medium Grid 2"/>
    <w:basedOn w:val="TableNormal"/>
    <w:uiPriority w:val="68"/>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C38EC0" w:themeColor="accent1"/>
        <w:left w:val="single" w:sz="8" w:space="0" w:color="C38EC0" w:themeColor="accent1"/>
        <w:bottom w:val="single" w:sz="8" w:space="0" w:color="C38EC0" w:themeColor="accent1"/>
        <w:right w:val="single" w:sz="8" w:space="0" w:color="C38EC0" w:themeColor="accent1"/>
        <w:insideH w:val="single" w:sz="8" w:space="0" w:color="C38EC0" w:themeColor="accent1"/>
        <w:insideV w:val="single" w:sz="8" w:space="0" w:color="C38EC0" w:themeColor="accent1"/>
      </w:tblBorders>
    </w:tblPr>
    <w:tcPr>
      <w:shd w:val="clear" w:color="auto" w:fill="F0E2EF" w:themeFill="accent1" w:themeFillTint="3F"/>
    </w:tcPr>
    <w:tblStylePr w:type="firstRow">
      <w:rPr>
        <w:b/>
        <w:bCs/>
        <w:color w:val="000000" w:themeColor="text1"/>
      </w:rPr>
      <w:tblPr/>
      <w:tcPr>
        <w:shd w:val="clear" w:color="auto" w:fill="F9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E8F2" w:themeFill="accent1" w:themeFillTint="33"/>
      </w:tcPr>
    </w:tblStylePr>
    <w:tblStylePr w:type="band1Vert">
      <w:tblPr/>
      <w:tcPr>
        <w:shd w:val="clear" w:color="auto" w:fill="E1C6DF" w:themeFill="accent1" w:themeFillTint="7F"/>
      </w:tcPr>
    </w:tblStylePr>
    <w:tblStylePr w:type="band1Horz">
      <w:tblPr/>
      <w:tcPr>
        <w:tcBorders>
          <w:insideH w:val="single" w:sz="6" w:space="0" w:color="C38EC0" w:themeColor="accent1"/>
          <w:insideV w:val="single" w:sz="6" w:space="0" w:color="C38EC0" w:themeColor="accent1"/>
        </w:tcBorders>
        <w:shd w:val="clear" w:color="auto" w:fill="E1C6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CCA44F" w:themeColor="accent2"/>
        <w:left w:val="single" w:sz="8" w:space="0" w:color="CCA44F" w:themeColor="accent2"/>
        <w:bottom w:val="single" w:sz="8" w:space="0" w:color="CCA44F" w:themeColor="accent2"/>
        <w:right w:val="single" w:sz="8" w:space="0" w:color="CCA44F" w:themeColor="accent2"/>
        <w:insideH w:val="single" w:sz="8" w:space="0" w:color="CCA44F" w:themeColor="accent2"/>
        <w:insideV w:val="single" w:sz="8" w:space="0" w:color="CCA44F" w:themeColor="accent2"/>
      </w:tblBorders>
    </w:tblPr>
    <w:tcPr>
      <w:shd w:val="clear" w:color="auto" w:fill="F2E8D3" w:themeFill="accent2" w:themeFillTint="3F"/>
    </w:tcPr>
    <w:tblStylePr w:type="firstRow">
      <w:rPr>
        <w:b/>
        <w:bCs/>
        <w:color w:val="000000" w:themeColor="text1"/>
      </w:rPr>
      <w:tblPr/>
      <w:tcPr>
        <w:shd w:val="clear" w:color="auto" w:fill="FAF6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CDB" w:themeFill="accent2" w:themeFillTint="33"/>
      </w:tcPr>
    </w:tblStylePr>
    <w:tblStylePr w:type="band1Vert">
      <w:tblPr/>
      <w:tcPr>
        <w:shd w:val="clear" w:color="auto" w:fill="E5D1A7" w:themeFill="accent2" w:themeFillTint="7F"/>
      </w:tcPr>
    </w:tblStylePr>
    <w:tblStylePr w:type="band1Horz">
      <w:tblPr/>
      <w:tcPr>
        <w:tcBorders>
          <w:insideH w:val="single" w:sz="6" w:space="0" w:color="CCA44F" w:themeColor="accent2"/>
          <w:insideV w:val="single" w:sz="6" w:space="0" w:color="CCA44F" w:themeColor="accent2"/>
        </w:tcBorders>
        <w:shd w:val="clear" w:color="auto" w:fill="E5D1A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FF6835" w:themeColor="accent3"/>
        <w:left w:val="single" w:sz="8" w:space="0" w:color="FF6835" w:themeColor="accent3"/>
        <w:bottom w:val="single" w:sz="8" w:space="0" w:color="FF6835" w:themeColor="accent3"/>
        <w:right w:val="single" w:sz="8" w:space="0" w:color="FF6835" w:themeColor="accent3"/>
        <w:insideH w:val="single" w:sz="8" w:space="0" w:color="FF6835" w:themeColor="accent3"/>
        <w:insideV w:val="single" w:sz="8" w:space="0" w:color="FF6835" w:themeColor="accent3"/>
      </w:tblBorders>
    </w:tblPr>
    <w:tcPr>
      <w:shd w:val="clear" w:color="auto" w:fill="FFD9CD" w:themeFill="accent3" w:themeFillTint="3F"/>
    </w:tcPr>
    <w:tblStylePr w:type="firstRow">
      <w:rPr>
        <w:b/>
        <w:bCs/>
        <w:color w:val="000000" w:themeColor="text1"/>
      </w:rPr>
      <w:tblPr/>
      <w:tcPr>
        <w:shd w:val="clear" w:color="auto" w:fill="FF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6" w:themeFill="accent3" w:themeFillTint="33"/>
      </w:tcPr>
    </w:tblStylePr>
    <w:tblStylePr w:type="band1Vert">
      <w:tblPr/>
      <w:tcPr>
        <w:shd w:val="clear" w:color="auto" w:fill="FFB39A" w:themeFill="accent3" w:themeFillTint="7F"/>
      </w:tcPr>
    </w:tblStylePr>
    <w:tblStylePr w:type="band1Horz">
      <w:tblPr/>
      <w:tcPr>
        <w:tcBorders>
          <w:insideH w:val="single" w:sz="6" w:space="0" w:color="FF6835" w:themeColor="accent3"/>
          <w:insideV w:val="single" w:sz="6" w:space="0" w:color="FF6835" w:themeColor="accent3"/>
        </w:tcBorders>
        <w:shd w:val="clear" w:color="auto" w:fill="FFB39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708FFF" w:themeColor="accent4"/>
        <w:left w:val="single" w:sz="8" w:space="0" w:color="708FFF" w:themeColor="accent4"/>
        <w:bottom w:val="single" w:sz="8" w:space="0" w:color="708FFF" w:themeColor="accent4"/>
        <w:right w:val="single" w:sz="8" w:space="0" w:color="708FFF" w:themeColor="accent4"/>
        <w:insideH w:val="single" w:sz="8" w:space="0" w:color="708FFF" w:themeColor="accent4"/>
        <w:insideV w:val="single" w:sz="8" w:space="0" w:color="708FFF" w:themeColor="accent4"/>
      </w:tblBorders>
    </w:tblPr>
    <w:tcPr>
      <w:shd w:val="clear" w:color="auto" w:fill="DBE3FF" w:themeFill="accent4" w:themeFillTint="3F"/>
    </w:tcPr>
    <w:tblStylePr w:type="firstRow">
      <w:rPr>
        <w:b/>
        <w:bCs/>
        <w:color w:val="000000" w:themeColor="text1"/>
      </w:rPr>
      <w:tblPr/>
      <w:tcPr>
        <w:shd w:val="clear" w:color="auto" w:fill="F0F3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8FF" w:themeFill="accent4" w:themeFillTint="33"/>
      </w:tcPr>
    </w:tblStylePr>
    <w:tblStylePr w:type="band1Vert">
      <w:tblPr/>
      <w:tcPr>
        <w:shd w:val="clear" w:color="auto" w:fill="B7C7FF" w:themeFill="accent4" w:themeFillTint="7F"/>
      </w:tcPr>
    </w:tblStylePr>
    <w:tblStylePr w:type="band1Horz">
      <w:tblPr/>
      <w:tcPr>
        <w:tcBorders>
          <w:insideH w:val="single" w:sz="6" w:space="0" w:color="708FFF" w:themeColor="accent4"/>
          <w:insideV w:val="single" w:sz="6" w:space="0" w:color="708FFF" w:themeColor="accent4"/>
        </w:tcBorders>
        <w:shd w:val="clear" w:color="auto" w:fill="B7C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46BB51" w:themeColor="accent5"/>
        <w:left w:val="single" w:sz="8" w:space="0" w:color="46BB51" w:themeColor="accent5"/>
        <w:bottom w:val="single" w:sz="8" w:space="0" w:color="46BB51" w:themeColor="accent5"/>
        <w:right w:val="single" w:sz="8" w:space="0" w:color="46BB51" w:themeColor="accent5"/>
        <w:insideH w:val="single" w:sz="8" w:space="0" w:color="46BB51" w:themeColor="accent5"/>
        <w:insideV w:val="single" w:sz="8" w:space="0" w:color="46BB51" w:themeColor="accent5"/>
      </w:tblBorders>
    </w:tblPr>
    <w:tcPr>
      <w:shd w:val="clear" w:color="auto" w:fill="D1EED3" w:themeFill="accent5" w:themeFillTint="3F"/>
    </w:tcPr>
    <w:tblStylePr w:type="firstRow">
      <w:rPr>
        <w:b/>
        <w:bCs/>
        <w:color w:val="000000" w:themeColor="text1"/>
      </w:rPr>
      <w:tblPr/>
      <w:tcPr>
        <w:shd w:val="clear" w:color="auto" w:fill="ECF8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1DB" w:themeFill="accent5" w:themeFillTint="33"/>
      </w:tcPr>
    </w:tblStylePr>
    <w:tblStylePr w:type="band1Vert">
      <w:tblPr/>
      <w:tcPr>
        <w:shd w:val="clear" w:color="auto" w:fill="A2DDA7" w:themeFill="accent5" w:themeFillTint="7F"/>
      </w:tcPr>
    </w:tblStylePr>
    <w:tblStylePr w:type="band1Horz">
      <w:tblPr/>
      <w:tcPr>
        <w:tcBorders>
          <w:insideH w:val="single" w:sz="6" w:space="0" w:color="46BB51" w:themeColor="accent5"/>
          <w:insideV w:val="single" w:sz="6" w:space="0" w:color="46BB51" w:themeColor="accent5"/>
        </w:tcBorders>
        <w:shd w:val="clear" w:color="auto" w:fill="A2DDA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CCCBBE" w:themeColor="accent6"/>
        <w:left w:val="single" w:sz="8" w:space="0" w:color="CCCBBE" w:themeColor="accent6"/>
        <w:bottom w:val="single" w:sz="8" w:space="0" w:color="CCCBBE" w:themeColor="accent6"/>
        <w:right w:val="single" w:sz="8" w:space="0" w:color="CCCBBE" w:themeColor="accent6"/>
        <w:insideH w:val="single" w:sz="8" w:space="0" w:color="CCCBBE" w:themeColor="accent6"/>
        <w:insideV w:val="single" w:sz="8" w:space="0" w:color="CCCBBE" w:themeColor="accent6"/>
      </w:tblBorders>
    </w:tblPr>
    <w:tcPr>
      <w:shd w:val="clear" w:color="auto" w:fill="F2F2EE" w:themeFill="accent6" w:themeFillTint="3F"/>
    </w:tcPr>
    <w:tblStylePr w:type="firstRow">
      <w:rPr>
        <w:b/>
        <w:bCs/>
        <w:color w:val="000000" w:themeColor="text1"/>
      </w:rPr>
      <w:tblPr/>
      <w:tcPr>
        <w:shd w:val="clear" w:color="auto" w:fill="FAF9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4F1" w:themeFill="accent6" w:themeFillTint="33"/>
      </w:tcPr>
    </w:tblStylePr>
    <w:tblStylePr w:type="band1Vert">
      <w:tblPr/>
      <w:tcPr>
        <w:shd w:val="clear" w:color="auto" w:fill="E5E4DE" w:themeFill="accent6" w:themeFillTint="7F"/>
      </w:tcPr>
    </w:tblStylePr>
    <w:tblStylePr w:type="band1Horz">
      <w:tblPr/>
      <w:tcPr>
        <w:tcBorders>
          <w:insideH w:val="single" w:sz="6" w:space="0" w:color="CCCBBE" w:themeColor="accent6"/>
          <w:insideV w:val="single" w:sz="6" w:space="0" w:color="CCCBBE" w:themeColor="accent6"/>
        </w:tcBorders>
        <w:shd w:val="clear" w:color="auto" w:fill="E5E4D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5044D"/>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5044D"/>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2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8E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8E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8E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8E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C6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C6DF" w:themeFill="accent1" w:themeFillTint="7F"/>
      </w:tcPr>
    </w:tblStylePr>
  </w:style>
  <w:style w:type="table" w:styleId="MediumGrid3-Accent2">
    <w:name w:val="Medium Grid 3 Accent 2"/>
    <w:basedOn w:val="TableNormal"/>
    <w:uiPriority w:val="69"/>
    <w:rsid w:val="0035044D"/>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8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44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44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44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44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D1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D1A7" w:themeFill="accent2" w:themeFillTint="7F"/>
      </w:tcPr>
    </w:tblStylePr>
  </w:style>
  <w:style w:type="table" w:styleId="MediumGrid3-Accent3">
    <w:name w:val="Medium Grid 3 Accent 3"/>
    <w:basedOn w:val="TableNormal"/>
    <w:uiPriority w:val="69"/>
    <w:rsid w:val="0035044D"/>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8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8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8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8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A" w:themeFill="accent3" w:themeFillTint="7F"/>
      </w:tcPr>
    </w:tblStylePr>
  </w:style>
  <w:style w:type="table" w:styleId="MediumGrid3-Accent4">
    <w:name w:val="Medium Grid 3 Accent 4"/>
    <w:basedOn w:val="TableNormal"/>
    <w:uiPriority w:val="69"/>
    <w:rsid w:val="0035044D"/>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3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8F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8F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8F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8F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C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C7FF" w:themeFill="accent4" w:themeFillTint="7F"/>
      </w:tcPr>
    </w:tblStylePr>
  </w:style>
  <w:style w:type="table" w:styleId="MediumGrid3-Accent5">
    <w:name w:val="Medium Grid 3 Accent 5"/>
    <w:basedOn w:val="TableNormal"/>
    <w:uiPriority w:val="69"/>
    <w:rsid w:val="0035044D"/>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E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B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B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B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B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DA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DA7" w:themeFill="accent5" w:themeFillTint="7F"/>
      </w:tcPr>
    </w:tblStylePr>
  </w:style>
  <w:style w:type="table" w:styleId="MediumGrid3-Accent6">
    <w:name w:val="Medium Grid 3 Accent 6"/>
    <w:basedOn w:val="TableNormal"/>
    <w:uiPriority w:val="69"/>
    <w:rsid w:val="0035044D"/>
    <w:rPr>
      <w:rFonts w:ascii="Times New Roman" w:hAnsi="Times New Roman" w:cs="Times New Roman"/>
      <w:sz w:val="24"/>
      <w:szCs w:val="24"/>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2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CBB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CBB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CBB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CBB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E4D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E4DE" w:themeFill="accent6" w:themeFillTint="7F"/>
      </w:tcPr>
    </w:tblStylePr>
  </w:style>
  <w:style w:type="table" w:styleId="MediumList1">
    <w:name w:val="Medium List 1"/>
    <w:basedOn w:val="TableNormal"/>
    <w:uiPriority w:val="65"/>
    <w:rsid w:val="0035044D"/>
    <w:rPr>
      <w:rFonts w:ascii="Times New Roman" w:hAnsi="Times New Roman" w:cs="Times New Roman"/>
      <w:color w:val="000000" w:themeColor="text1"/>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D978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5044D"/>
    <w:rPr>
      <w:rFonts w:ascii="Times New Roman" w:hAnsi="Times New Roman" w:cs="Times New Roman"/>
      <w:color w:val="000000" w:themeColor="text1"/>
      <w:sz w:val="24"/>
      <w:szCs w:val="24"/>
      <w:lang w:val="en-GB"/>
    </w:rPr>
    <w:tblPr>
      <w:tblStyleRowBandSize w:val="1"/>
      <w:tblStyleColBandSize w:val="1"/>
      <w:tblBorders>
        <w:top w:val="single" w:sz="8" w:space="0" w:color="C38EC0" w:themeColor="accent1"/>
        <w:bottom w:val="single" w:sz="8" w:space="0" w:color="C38EC0" w:themeColor="accent1"/>
      </w:tblBorders>
    </w:tblPr>
    <w:tblStylePr w:type="firstRow">
      <w:rPr>
        <w:rFonts w:asciiTheme="majorHAnsi" w:eastAsiaTheme="majorEastAsia" w:hAnsiTheme="majorHAnsi" w:cstheme="majorBidi"/>
      </w:rPr>
      <w:tblPr/>
      <w:tcPr>
        <w:tcBorders>
          <w:top w:val="nil"/>
          <w:bottom w:val="single" w:sz="8" w:space="0" w:color="C38EC0" w:themeColor="accent1"/>
        </w:tcBorders>
      </w:tcPr>
    </w:tblStylePr>
    <w:tblStylePr w:type="lastRow">
      <w:rPr>
        <w:b/>
        <w:bCs/>
        <w:color w:val="9D9785" w:themeColor="text2"/>
      </w:rPr>
      <w:tblPr/>
      <w:tcPr>
        <w:tcBorders>
          <w:top w:val="single" w:sz="8" w:space="0" w:color="C38EC0" w:themeColor="accent1"/>
          <w:bottom w:val="single" w:sz="8" w:space="0" w:color="C38EC0" w:themeColor="accent1"/>
        </w:tcBorders>
      </w:tcPr>
    </w:tblStylePr>
    <w:tblStylePr w:type="firstCol">
      <w:rPr>
        <w:b/>
        <w:bCs/>
      </w:rPr>
    </w:tblStylePr>
    <w:tblStylePr w:type="lastCol">
      <w:rPr>
        <w:b/>
        <w:bCs/>
      </w:rPr>
      <w:tblPr/>
      <w:tcPr>
        <w:tcBorders>
          <w:top w:val="single" w:sz="8" w:space="0" w:color="C38EC0" w:themeColor="accent1"/>
          <w:bottom w:val="single" w:sz="8" w:space="0" w:color="C38EC0" w:themeColor="accent1"/>
        </w:tcBorders>
      </w:tcPr>
    </w:tblStylePr>
    <w:tblStylePr w:type="band1Vert">
      <w:tblPr/>
      <w:tcPr>
        <w:shd w:val="clear" w:color="auto" w:fill="F0E2EF" w:themeFill="accent1" w:themeFillTint="3F"/>
      </w:tcPr>
    </w:tblStylePr>
    <w:tblStylePr w:type="band1Horz">
      <w:tblPr/>
      <w:tcPr>
        <w:shd w:val="clear" w:color="auto" w:fill="F0E2EF" w:themeFill="accent1" w:themeFillTint="3F"/>
      </w:tcPr>
    </w:tblStylePr>
  </w:style>
  <w:style w:type="table" w:styleId="MediumList1-Accent2">
    <w:name w:val="Medium List 1 Accent 2"/>
    <w:basedOn w:val="TableNormal"/>
    <w:uiPriority w:val="65"/>
    <w:rsid w:val="0035044D"/>
    <w:rPr>
      <w:rFonts w:ascii="Times New Roman" w:hAnsi="Times New Roman" w:cs="Times New Roman"/>
      <w:color w:val="000000" w:themeColor="text1"/>
      <w:sz w:val="24"/>
      <w:szCs w:val="24"/>
      <w:lang w:val="en-GB"/>
    </w:rPr>
    <w:tblPr>
      <w:tblStyleRowBandSize w:val="1"/>
      <w:tblStyleColBandSize w:val="1"/>
      <w:tblBorders>
        <w:top w:val="single" w:sz="8" w:space="0" w:color="CCA44F" w:themeColor="accent2"/>
        <w:bottom w:val="single" w:sz="8" w:space="0" w:color="CCA44F" w:themeColor="accent2"/>
      </w:tblBorders>
    </w:tblPr>
    <w:tblStylePr w:type="firstRow">
      <w:rPr>
        <w:rFonts w:asciiTheme="majorHAnsi" w:eastAsiaTheme="majorEastAsia" w:hAnsiTheme="majorHAnsi" w:cstheme="majorBidi"/>
      </w:rPr>
      <w:tblPr/>
      <w:tcPr>
        <w:tcBorders>
          <w:top w:val="nil"/>
          <w:bottom w:val="single" w:sz="8" w:space="0" w:color="CCA44F" w:themeColor="accent2"/>
        </w:tcBorders>
      </w:tcPr>
    </w:tblStylePr>
    <w:tblStylePr w:type="lastRow">
      <w:rPr>
        <w:b/>
        <w:bCs/>
        <w:color w:val="9D9785" w:themeColor="text2"/>
      </w:rPr>
      <w:tblPr/>
      <w:tcPr>
        <w:tcBorders>
          <w:top w:val="single" w:sz="8" w:space="0" w:color="CCA44F" w:themeColor="accent2"/>
          <w:bottom w:val="single" w:sz="8" w:space="0" w:color="CCA44F" w:themeColor="accent2"/>
        </w:tcBorders>
      </w:tcPr>
    </w:tblStylePr>
    <w:tblStylePr w:type="firstCol">
      <w:rPr>
        <w:b/>
        <w:bCs/>
      </w:rPr>
    </w:tblStylePr>
    <w:tblStylePr w:type="lastCol">
      <w:rPr>
        <w:b/>
        <w:bCs/>
      </w:rPr>
      <w:tblPr/>
      <w:tcPr>
        <w:tcBorders>
          <w:top w:val="single" w:sz="8" w:space="0" w:color="CCA44F" w:themeColor="accent2"/>
          <w:bottom w:val="single" w:sz="8" w:space="0" w:color="CCA44F" w:themeColor="accent2"/>
        </w:tcBorders>
      </w:tcPr>
    </w:tblStylePr>
    <w:tblStylePr w:type="band1Vert">
      <w:tblPr/>
      <w:tcPr>
        <w:shd w:val="clear" w:color="auto" w:fill="F2E8D3" w:themeFill="accent2" w:themeFillTint="3F"/>
      </w:tcPr>
    </w:tblStylePr>
    <w:tblStylePr w:type="band1Horz">
      <w:tblPr/>
      <w:tcPr>
        <w:shd w:val="clear" w:color="auto" w:fill="F2E8D3" w:themeFill="accent2" w:themeFillTint="3F"/>
      </w:tcPr>
    </w:tblStylePr>
  </w:style>
  <w:style w:type="table" w:styleId="MediumList1-Accent3">
    <w:name w:val="Medium List 1 Accent 3"/>
    <w:basedOn w:val="TableNormal"/>
    <w:uiPriority w:val="65"/>
    <w:rsid w:val="0035044D"/>
    <w:rPr>
      <w:rFonts w:ascii="Times New Roman" w:hAnsi="Times New Roman" w:cs="Times New Roman"/>
      <w:color w:val="000000" w:themeColor="text1"/>
      <w:sz w:val="24"/>
      <w:szCs w:val="24"/>
      <w:lang w:val="en-GB"/>
    </w:rPr>
    <w:tblPr>
      <w:tblStyleRowBandSize w:val="1"/>
      <w:tblStyleColBandSize w:val="1"/>
      <w:tblBorders>
        <w:top w:val="single" w:sz="8" w:space="0" w:color="FF6835" w:themeColor="accent3"/>
        <w:bottom w:val="single" w:sz="8" w:space="0" w:color="FF6835" w:themeColor="accent3"/>
      </w:tblBorders>
    </w:tblPr>
    <w:tblStylePr w:type="firstRow">
      <w:rPr>
        <w:rFonts w:asciiTheme="majorHAnsi" w:eastAsiaTheme="majorEastAsia" w:hAnsiTheme="majorHAnsi" w:cstheme="majorBidi"/>
      </w:rPr>
      <w:tblPr/>
      <w:tcPr>
        <w:tcBorders>
          <w:top w:val="nil"/>
          <w:bottom w:val="single" w:sz="8" w:space="0" w:color="FF6835" w:themeColor="accent3"/>
        </w:tcBorders>
      </w:tcPr>
    </w:tblStylePr>
    <w:tblStylePr w:type="lastRow">
      <w:rPr>
        <w:b/>
        <w:bCs/>
        <w:color w:val="9D9785" w:themeColor="text2"/>
      </w:rPr>
      <w:tblPr/>
      <w:tcPr>
        <w:tcBorders>
          <w:top w:val="single" w:sz="8" w:space="0" w:color="FF6835" w:themeColor="accent3"/>
          <w:bottom w:val="single" w:sz="8" w:space="0" w:color="FF6835" w:themeColor="accent3"/>
        </w:tcBorders>
      </w:tcPr>
    </w:tblStylePr>
    <w:tblStylePr w:type="firstCol">
      <w:rPr>
        <w:b/>
        <w:bCs/>
      </w:rPr>
    </w:tblStylePr>
    <w:tblStylePr w:type="lastCol">
      <w:rPr>
        <w:b/>
        <w:bCs/>
      </w:rPr>
      <w:tblPr/>
      <w:tcPr>
        <w:tcBorders>
          <w:top w:val="single" w:sz="8" w:space="0" w:color="FF6835" w:themeColor="accent3"/>
          <w:bottom w:val="single" w:sz="8" w:space="0" w:color="FF6835" w:themeColor="accent3"/>
        </w:tcBorders>
      </w:tcPr>
    </w:tblStylePr>
    <w:tblStylePr w:type="band1Vert">
      <w:tblPr/>
      <w:tcPr>
        <w:shd w:val="clear" w:color="auto" w:fill="FFD9CD" w:themeFill="accent3" w:themeFillTint="3F"/>
      </w:tcPr>
    </w:tblStylePr>
    <w:tblStylePr w:type="band1Horz">
      <w:tblPr/>
      <w:tcPr>
        <w:shd w:val="clear" w:color="auto" w:fill="FFD9CD" w:themeFill="accent3" w:themeFillTint="3F"/>
      </w:tcPr>
    </w:tblStylePr>
  </w:style>
  <w:style w:type="table" w:styleId="MediumList1-Accent4">
    <w:name w:val="Medium List 1 Accent 4"/>
    <w:basedOn w:val="TableNormal"/>
    <w:uiPriority w:val="65"/>
    <w:rsid w:val="0035044D"/>
    <w:rPr>
      <w:rFonts w:ascii="Times New Roman" w:hAnsi="Times New Roman" w:cs="Times New Roman"/>
      <w:color w:val="000000" w:themeColor="text1"/>
      <w:sz w:val="24"/>
      <w:szCs w:val="24"/>
      <w:lang w:val="en-GB"/>
    </w:rPr>
    <w:tblPr>
      <w:tblStyleRowBandSize w:val="1"/>
      <w:tblStyleColBandSize w:val="1"/>
      <w:tblBorders>
        <w:top w:val="single" w:sz="8" w:space="0" w:color="708FFF" w:themeColor="accent4"/>
        <w:bottom w:val="single" w:sz="8" w:space="0" w:color="708FFF" w:themeColor="accent4"/>
      </w:tblBorders>
    </w:tblPr>
    <w:tblStylePr w:type="firstRow">
      <w:rPr>
        <w:rFonts w:asciiTheme="majorHAnsi" w:eastAsiaTheme="majorEastAsia" w:hAnsiTheme="majorHAnsi" w:cstheme="majorBidi"/>
      </w:rPr>
      <w:tblPr/>
      <w:tcPr>
        <w:tcBorders>
          <w:top w:val="nil"/>
          <w:bottom w:val="single" w:sz="8" w:space="0" w:color="708FFF" w:themeColor="accent4"/>
        </w:tcBorders>
      </w:tcPr>
    </w:tblStylePr>
    <w:tblStylePr w:type="lastRow">
      <w:rPr>
        <w:b/>
        <w:bCs/>
        <w:color w:val="9D9785" w:themeColor="text2"/>
      </w:rPr>
      <w:tblPr/>
      <w:tcPr>
        <w:tcBorders>
          <w:top w:val="single" w:sz="8" w:space="0" w:color="708FFF" w:themeColor="accent4"/>
          <w:bottom w:val="single" w:sz="8" w:space="0" w:color="708FFF" w:themeColor="accent4"/>
        </w:tcBorders>
      </w:tcPr>
    </w:tblStylePr>
    <w:tblStylePr w:type="firstCol">
      <w:rPr>
        <w:b/>
        <w:bCs/>
      </w:rPr>
    </w:tblStylePr>
    <w:tblStylePr w:type="lastCol">
      <w:rPr>
        <w:b/>
        <w:bCs/>
      </w:rPr>
      <w:tblPr/>
      <w:tcPr>
        <w:tcBorders>
          <w:top w:val="single" w:sz="8" w:space="0" w:color="708FFF" w:themeColor="accent4"/>
          <w:bottom w:val="single" w:sz="8" w:space="0" w:color="708FFF" w:themeColor="accent4"/>
        </w:tcBorders>
      </w:tcPr>
    </w:tblStylePr>
    <w:tblStylePr w:type="band1Vert">
      <w:tblPr/>
      <w:tcPr>
        <w:shd w:val="clear" w:color="auto" w:fill="DBE3FF" w:themeFill="accent4" w:themeFillTint="3F"/>
      </w:tcPr>
    </w:tblStylePr>
    <w:tblStylePr w:type="band1Horz">
      <w:tblPr/>
      <w:tcPr>
        <w:shd w:val="clear" w:color="auto" w:fill="DBE3FF" w:themeFill="accent4" w:themeFillTint="3F"/>
      </w:tcPr>
    </w:tblStylePr>
  </w:style>
  <w:style w:type="table" w:styleId="MediumList1-Accent5">
    <w:name w:val="Medium List 1 Accent 5"/>
    <w:basedOn w:val="TableNormal"/>
    <w:uiPriority w:val="65"/>
    <w:rsid w:val="0035044D"/>
    <w:rPr>
      <w:rFonts w:ascii="Times New Roman" w:hAnsi="Times New Roman" w:cs="Times New Roman"/>
      <w:color w:val="000000" w:themeColor="text1"/>
      <w:sz w:val="24"/>
      <w:szCs w:val="24"/>
      <w:lang w:val="en-GB"/>
    </w:rPr>
    <w:tblPr>
      <w:tblStyleRowBandSize w:val="1"/>
      <w:tblStyleColBandSize w:val="1"/>
      <w:tblBorders>
        <w:top w:val="single" w:sz="8" w:space="0" w:color="46BB51" w:themeColor="accent5"/>
        <w:bottom w:val="single" w:sz="8" w:space="0" w:color="46BB51" w:themeColor="accent5"/>
      </w:tblBorders>
    </w:tblPr>
    <w:tblStylePr w:type="firstRow">
      <w:rPr>
        <w:rFonts w:asciiTheme="majorHAnsi" w:eastAsiaTheme="majorEastAsia" w:hAnsiTheme="majorHAnsi" w:cstheme="majorBidi"/>
      </w:rPr>
      <w:tblPr/>
      <w:tcPr>
        <w:tcBorders>
          <w:top w:val="nil"/>
          <w:bottom w:val="single" w:sz="8" w:space="0" w:color="46BB51" w:themeColor="accent5"/>
        </w:tcBorders>
      </w:tcPr>
    </w:tblStylePr>
    <w:tblStylePr w:type="lastRow">
      <w:rPr>
        <w:b/>
        <w:bCs/>
        <w:color w:val="9D9785" w:themeColor="text2"/>
      </w:rPr>
      <w:tblPr/>
      <w:tcPr>
        <w:tcBorders>
          <w:top w:val="single" w:sz="8" w:space="0" w:color="46BB51" w:themeColor="accent5"/>
          <w:bottom w:val="single" w:sz="8" w:space="0" w:color="46BB51" w:themeColor="accent5"/>
        </w:tcBorders>
      </w:tcPr>
    </w:tblStylePr>
    <w:tblStylePr w:type="firstCol">
      <w:rPr>
        <w:b/>
        <w:bCs/>
      </w:rPr>
    </w:tblStylePr>
    <w:tblStylePr w:type="lastCol">
      <w:rPr>
        <w:b/>
        <w:bCs/>
      </w:rPr>
      <w:tblPr/>
      <w:tcPr>
        <w:tcBorders>
          <w:top w:val="single" w:sz="8" w:space="0" w:color="46BB51" w:themeColor="accent5"/>
          <w:bottom w:val="single" w:sz="8" w:space="0" w:color="46BB51" w:themeColor="accent5"/>
        </w:tcBorders>
      </w:tcPr>
    </w:tblStylePr>
    <w:tblStylePr w:type="band1Vert">
      <w:tblPr/>
      <w:tcPr>
        <w:shd w:val="clear" w:color="auto" w:fill="D1EED3" w:themeFill="accent5" w:themeFillTint="3F"/>
      </w:tcPr>
    </w:tblStylePr>
    <w:tblStylePr w:type="band1Horz">
      <w:tblPr/>
      <w:tcPr>
        <w:shd w:val="clear" w:color="auto" w:fill="D1EED3" w:themeFill="accent5" w:themeFillTint="3F"/>
      </w:tcPr>
    </w:tblStylePr>
  </w:style>
  <w:style w:type="table" w:styleId="MediumList1-Accent6">
    <w:name w:val="Medium List 1 Accent 6"/>
    <w:basedOn w:val="TableNormal"/>
    <w:uiPriority w:val="65"/>
    <w:rsid w:val="0035044D"/>
    <w:rPr>
      <w:rFonts w:ascii="Times New Roman" w:hAnsi="Times New Roman" w:cs="Times New Roman"/>
      <w:color w:val="000000" w:themeColor="text1"/>
      <w:sz w:val="24"/>
      <w:szCs w:val="24"/>
      <w:lang w:val="en-GB"/>
    </w:rPr>
    <w:tblPr>
      <w:tblStyleRowBandSize w:val="1"/>
      <w:tblStyleColBandSize w:val="1"/>
      <w:tblBorders>
        <w:top w:val="single" w:sz="8" w:space="0" w:color="CCCBBE" w:themeColor="accent6"/>
        <w:bottom w:val="single" w:sz="8" w:space="0" w:color="CCCBBE" w:themeColor="accent6"/>
      </w:tblBorders>
    </w:tblPr>
    <w:tblStylePr w:type="firstRow">
      <w:rPr>
        <w:rFonts w:asciiTheme="majorHAnsi" w:eastAsiaTheme="majorEastAsia" w:hAnsiTheme="majorHAnsi" w:cstheme="majorBidi"/>
      </w:rPr>
      <w:tblPr/>
      <w:tcPr>
        <w:tcBorders>
          <w:top w:val="nil"/>
          <w:bottom w:val="single" w:sz="8" w:space="0" w:color="CCCBBE" w:themeColor="accent6"/>
        </w:tcBorders>
      </w:tcPr>
    </w:tblStylePr>
    <w:tblStylePr w:type="lastRow">
      <w:rPr>
        <w:b/>
        <w:bCs/>
        <w:color w:val="9D9785" w:themeColor="text2"/>
      </w:rPr>
      <w:tblPr/>
      <w:tcPr>
        <w:tcBorders>
          <w:top w:val="single" w:sz="8" w:space="0" w:color="CCCBBE" w:themeColor="accent6"/>
          <w:bottom w:val="single" w:sz="8" w:space="0" w:color="CCCBBE" w:themeColor="accent6"/>
        </w:tcBorders>
      </w:tcPr>
    </w:tblStylePr>
    <w:tblStylePr w:type="firstCol">
      <w:rPr>
        <w:b/>
        <w:bCs/>
      </w:rPr>
    </w:tblStylePr>
    <w:tblStylePr w:type="lastCol">
      <w:rPr>
        <w:b/>
        <w:bCs/>
      </w:rPr>
      <w:tblPr/>
      <w:tcPr>
        <w:tcBorders>
          <w:top w:val="single" w:sz="8" w:space="0" w:color="CCCBBE" w:themeColor="accent6"/>
          <w:bottom w:val="single" w:sz="8" w:space="0" w:color="CCCBBE" w:themeColor="accent6"/>
        </w:tcBorders>
      </w:tcPr>
    </w:tblStylePr>
    <w:tblStylePr w:type="band1Vert">
      <w:tblPr/>
      <w:tcPr>
        <w:shd w:val="clear" w:color="auto" w:fill="F2F2EE" w:themeFill="accent6" w:themeFillTint="3F"/>
      </w:tcPr>
    </w:tblStylePr>
    <w:tblStylePr w:type="band1Horz">
      <w:tblPr/>
      <w:tcPr>
        <w:shd w:val="clear" w:color="auto" w:fill="F2F2EE" w:themeFill="accent6" w:themeFillTint="3F"/>
      </w:tcPr>
    </w:tblStylePr>
  </w:style>
  <w:style w:type="table" w:styleId="MediumList2">
    <w:name w:val="Medium List 2"/>
    <w:basedOn w:val="TableNormal"/>
    <w:uiPriority w:val="66"/>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C38EC0" w:themeColor="accent1"/>
        <w:left w:val="single" w:sz="8" w:space="0" w:color="C38EC0" w:themeColor="accent1"/>
        <w:bottom w:val="single" w:sz="8" w:space="0" w:color="C38EC0" w:themeColor="accent1"/>
        <w:right w:val="single" w:sz="8" w:space="0" w:color="C38EC0" w:themeColor="accent1"/>
      </w:tblBorders>
    </w:tblPr>
    <w:tblStylePr w:type="firstRow">
      <w:rPr>
        <w:sz w:val="24"/>
        <w:szCs w:val="24"/>
      </w:rPr>
      <w:tblPr/>
      <w:tcPr>
        <w:tcBorders>
          <w:top w:val="nil"/>
          <w:left w:val="nil"/>
          <w:bottom w:val="single" w:sz="24" w:space="0" w:color="C38EC0" w:themeColor="accent1"/>
          <w:right w:val="nil"/>
          <w:insideH w:val="nil"/>
          <w:insideV w:val="nil"/>
        </w:tcBorders>
        <w:shd w:val="clear" w:color="auto" w:fill="FFFFFF" w:themeFill="background1"/>
      </w:tcPr>
    </w:tblStylePr>
    <w:tblStylePr w:type="lastRow">
      <w:tblPr/>
      <w:tcPr>
        <w:tcBorders>
          <w:top w:val="single" w:sz="8" w:space="0" w:color="C38EC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8EC0" w:themeColor="accent1"/>
          <w:insideH w:val="nil"/>
          <w:insideV w:val="nil"/>
        </w:tcBorders>
        <w:shd w:val="clear" w:color="auto" w:fill="FFFFFF" w:themeFill="background1"/>
      </w:tcPr>
    </w:tblStylePr>
    <w:tblStylePr w:type="lastCol">
      <w:tblPr/>
      <w:tcPr>
        <w:tcBorders>
          <w:top w:val="nil"/>
          <w:left w:val="single" w:sz="8" w:space="0" w:color="C38E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E2EF" w:themeFill="accent1" w:themeFillTint="3F"/>
      </w:tcPr>
    </w:tblStylePr>
    <w:tblStylePr w:type="band1Horz">
      <w:tblPr/>
      <w:tcPr>
        <w:tcBorders>
          <w:top w:val="nil"/>
          <w:bottom w:val="nil"/>
          <w:insideH w:val="nil"/>
          <w:insideV w:val="nil"/>
        </w:tcBorders>
        <w:shd w:val="clear" w:color="auto" w:fill="F0E2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CCA44F" w:themeColor="accent2"/>
        <w:left w:val="single" w:sz="8" w:space="0" w:color="CCA44F" w:themeColor="accent2"/>
        <w:bottom w:val="single" w:sz="8" w:space="0" w:color="CCA44F" w:themeColor="accent2"/>
        <w:right w:val="single" w:sz="8" w:space="0" w:color="CCA44F" w:themeColor="accent2"/>
      </w:tblBorders>
    </w:tblPr>
    <w:tblStylePr w:type="firstRow">
      <w:rPr>
        <w:sz w:val="24"/>
        <w:szCs w:val="24"/>
      </w:rPr>
      <w:tblPr/>
      <w:tcPr>
        <w:tcBorders>
          <w:top w:val="nil"/>
          <w:left w:val="nil"/>
          <w:bottom w:val="single" w:sz="24" w:space="0" w:color="CCA44F" w:themeColor="accent2"/>
          <w:right w:val="nil"/>
          <w:insideH w:val="nil"/>
          <w:insideV w:val="nil"/>
        </w:tcBorders>
        <w:shd w:val="clear" w:color="auto" w:fill="FFFFFF" w:themeFill="background1"/>
      </w:tcPr>
    </w:tblStylePr>
    <w:tblStylePr w:type="lastRow">
      <w:tblPr/>
      <w:tcPr>
        <w:tcBorders>
          <w:top w:val="single" w:sz="8" w:space="0" w:color="CCA44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A44F" w:themeColor="accent2"/>
          <w:insideH w:val="nil"/>
          <w:insideV w:val="nil"/>
        </w:tcBorders>
        <w:shd w:val="clear" w:color="auto" w:fill="FFFFFF" w:themeFill="background1"/>
      </w:tcPr>
    </w:tblStylePr>
    <w:tblStylePr w:type="lastCol">
      <w:tblPr/>
      <w:tcPr>
        <w:tcBorders>
          <w:top w:val="nil"/>
          <w:left w:val="single" w:sz="8" w:space="0" w:color="CCA44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8D3" w:themeFill="accent2" w:themeFillTint="3F"/>
      </w:tcPr>
    </w:tblStylePr>
    <w:tblStylePr w:type="band1Horz">
      <w:tblPr/>
      <w:tcPr>
        <w:tcBorders>
          <w:top w:val="nil"/>
          <w:bottom w:val="nil"/>
          <w:insideH w:val="nil"/>
          <w:insideV w:val="nil"/>
        </w:tcBorders>
        <w:shd w:val="clear" w:color="auto" w:fill="F2E8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FF6835" w:themeColor="accent3"/>
        <w:left w:val="single" w:sz="8" w:space="0" w:color="FF6835" w:themeColor="accent3"/>
        <w:bottom w:val="single" w:sz="8" w:space="0" w:color="FF6835" w:themeColor="accent3"/>
        <w:right w:val="single" w:sz="8" w:space="0" w:color="FF6835" w:themeColor="accent3"/>
      </w:tblBorders>
    </w:tblPr>
    <w:tblStylePr w:type="firstRow">
      <w:rPr>
        <w:sz w:val="24"/>
        <w:szCs w:val="24"/>
      </w:rPr>
      <w:tblPr/>
      <w:tcPr>
        <w:tcBorders>
          <w:top w:val="nil"/>
          <w:left w:val="nil"/>
          <w:bottom w:val="single" w:sz="24" w:space="0" w:color="FF6835" w:themeColor="accent3"/>
          <w:right w:val="nil"/>
          <w:insideH w:val="nil"/>
          <w:insideV w:val="nil"/>
        </w:tcBorders>
        <w:shd w:val="clear" w:color="auto" w:fill="FFFFFF" w:themeFill="background1"/>
      </w:tcPr>
    </w:tblStylePr>
    <w:tblStylePr w:type="lastRow">
      <w:tblPr/>
      <w:tcPr>
        <w:tcBorders>
          <w:top w:val="single" w:sz="8" w:space="0" w:color="FF683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835" w:themeColor="accent3"/>
          <w:insideH w:val="nil"/>
          <w:insideV w:val="nil"/>
        </w:tcBorders>
        <w:shd w:val="clear" w:color="auto" w:fill="FFFFFF" w:themeFill="background1"/>
      </w:tcPr>
    </w:tblStylePr>
    <w:tblStylePr w:type="lastCol">
      <w:tblPr/>
      <w:tcPr>
        <w:tcBorders>
          <w:top w:val="nil"/>
          <w:left w:val="single" w:sz="8" w:space="0" w:color="FF68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D" w:themeFill="accent3" w:themeFillTint="3F"/>
      </w:tcPr>
    </w:tblStylePr>
    <w:tblStylePr w:type="band1Horz">
      <w:tblPr/>
      <w:tcPr>
        <w:tcBorders>
          <w:top w:val="nil"/>
          <w:bottom w:val="nil"/>
          <w:insideH w:val="nil"/>
          <w:insideV w:val="nil"/>
        </w:tcBorders>
        <w:shd w:val="clear" w:color="auto" w:fill="FFD9C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708FFF" w:themeColor="accent4"/>
        <w:left w:val="single" w:sz="8" w:space="0" w:color="708FFF" w:themeColor="accent4"/>
        <w:bottom w:val="single" w:sz="8" w:space="0" w:color="708FFF" w:themeColor="accent4"/>
        <w:right w:val="single" w:sz="8" w:space="0" w:color="708FFF" w:themeColor="accent4"/>
      </w:tblBorders>
    </w:tblPr>
    <w:tblStylePr w:type="firstRow">
      <w:rPr>
        <w:sz w:val="24"/>
        <w:szCs w:val="24"/>
      </w:rPr>
      <w:tblPr/>
      <w:tcPr>
        <w:tcBorders>
          <w:top w:val="nil"/>
          <w:left w:val="nil"/>
          <w:bottom w:val="single" w:sz="24" w:space="0" w:color="708FFF" w:themeColor="accent4"/>
          <w:right w:val="nil"/>
          <w:insideH w:val="nil"/>
          <w:insideV w:val="nil"/>
        </w:tcBorders>
        <w:shd w:val="clear" w:color="auto" w:fill="FFFFFF" w:themeFill="background1"/>
      </w:tcPr>
    </w:tblStylePr>
    <w:tblStylePr w:type="lastRow">
      <w:tblPr/>
      <w:tcPr>
        <w:tcBorders>
          <w:top w:val="single" w:sz="8" w:space="0" w:color="708F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8FFF" w:themeColor="accent4"/>
          <w:insideH w:val="nil"/>
          <w:insideV w:val="nil"/>
        </w:tcBorders>
        <w:shd w:val="clear" w:color="auto" w:fill="FFFFFF" w:themeFill="background1"/>
      </w:tcPr>
    </w:tblStylePr>
    <w:tblStylePr w:type="lastCol">
      <w:tblPr/>
      <w:tcPr>
        <w:tcBorders>
          <w:top w:val="nil"/>
          <w:left w:val="single" w:sz="8" w:space="0" w:color="708F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3FF" w:themeFill="accent4" w:themeFillTint="3F"/>
      </w:tcPr>
    </w:tblStylePr>
    <w:tblStylePr w:type="band1Horz">
      <w:tblPr/>
      <w:tcPr>
        <w:tcBorders>
          <w:top w:val="nil"/>
          <w:bottom w:val="nil"/>
          <w:insideH w:val="nil"/>
          <w:insideV w:val="nil"/>
        </w:tcBorders>
        <w:shd w:val="clear" w:color="auto" w:fill="DBE3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46BB51" w:themeColor="accent5"/>
        <w:left w:val="single" w:sz="8" w:space="0" w:color="46BB51" w:themeColor="accent5"/>
        <w:bottom w:val="single" w:sz="8" w:space="0" w:color="46BB51" w:themeColor="accent5"/>
        <w:right w:val="single" w:sz="8" w:space="0" w:color="46BB51" w:themeColor="accent5"/>
      </w:tblBorders>
    </w:tblPr>
    <w:tblStylePr w:type="firstRow">
      <w:rPr>
        <w:sz w:val="24"/>
        <w:szCs w:val="24"/>
      </w:rPr>
      <w:tblPr/>
      <w:tcPr>
        <w:tcBorders>
          <w:top w:val="nil"/>
          <w:left w:val="nil"/>
          <w:bottom w:val="single" w:sz="24" w:space="0" w:color="46BB51" w:themeColor="accent5"/>
          <w:right w:val="nil"/>
          <w:insideH w:val="nil"/>
          <w:insideV w:val="nil"/>
        </w:tcBorders>
        <w:shd w:val="clear" w:color="auto" w:fill="FFFFFF" w:themeFill="background1"/>
      </w:tcPr>
    </w:tblStylePr>
    <w:tblStylePr w:type="lastRow">
      <w:tblPr/>
      <w:tcPr>
        <w:tcBorders>
          <w:top w:val="single" w:sz="8" w:space="0" w:color="46BB5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B51" w:themeColor="accent5"/>
          <w:insideH w:val="nil"/>
          <w:insideV w:val="nil"/>
        </w:tcBorders>
        <w:shd w:val="clear" w:color="auto" w:fill="FFFFFF" w:themeFill="background1"/>
      </w:tcPr>
    </w:tblStylePr>
    <w:tblStylePr w:type="lastCol">
      <w:tblPr/>
      <w:tcPr>
        <w:tcBorders>
          <w:top w:val="nil"/>
          <w:left w:val="single" w:sz="8" w:space="0" w:color="46BB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ED3" w:themeFill="accent5" w:themeFillTint="3F"/>
      </w:tcPr>
    </w:tblStylePr>
    <w:tblStylePr w:type="band1Horz">
      <w:tblPr/>
      <w:tcPr>
        <w:tcBorders>
          <w:top w:val="nil"/>
          <w:bottom w:val="nil"/>
          <w:insideH w:val="nil"/>
          <w:insideV w:val="nil"/>
        </w:tcBorders>
        <w:shd w:val="clear" w:color="auto" w:fill="D1EE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5044D"/>
    <w:rPr>
      <w:rFonts w:asciiTheme="majorHAnsi" w:eastAsiaTheme="majorEastAsia" w:hAnsiTheme="majorHAnsi" w:cstheme="majorBidi"/>
      <w:color w:val="000000" w:themeColor="text1"/>
      <w:sz w:val="24"/>
      <w:szCs w:val="24"/>
      <w:lang w:val="en-GB"/>
    </w:rPr>
    <w:tblPr>
      <w:tblStyleRowBandSize w:val="1"/>
      <w:tblStyleColBandSize w:val="1"/>
      <w:tblBorders>
        <w:top w:val="single" w:sz="8" w:space="0" w:color="CCCBBE" w:themeColor="accent6"/>
        <w:left w:val="single" w:sz="8" w:space="0" w:color="CCCBBE" w:themeColor="accent6"/>
        <w:bottom w:val="single" w:sz="8" w:space="0" w:color="CCCBBE" w:themeColor="accent6"/>
        <w:right w:val="single" w:sz="8" w:space="0" w:color="CCCBBE" w:themeColor="accent6"/>
      </w:tblBorders>
    </w:tblPr>
    <w:tblStylePr w:type="firstRow">
      <w:rPr>
        <w:sz w:val="24"/>
        <w:szCs w:val="24"/>
      </w:rPr>
      <w:tblPr/>
      <w:tcPr>
        <w:tcBorders>
          <w:top w:val="nil"/>
          <w:left w:val="nil"/>
          <w:bottom w:val="single" w:sz="24" w:space="0" w:color="CCCBBE" w:themeColor="accent6"/>
          <w:right w:val="nil"/>
          <w:insideH w:val="nil"/>
          <w:insideV w:val="nil"/>
        </w:tcBorders>
        <w:shd w:val="clear" w:color="auto" w:fill="FFFFFF" w:themeFill="background1"/>
      </w:tcPr>
    </w:tblStylePr>
    <w:tblStylePr w:type="lastRow">
      <w:tblPr/>
      <w:tcPr>
        <w:tcBorders>
          <w:top w:val="single" w:sz="8" w:space="0" w:color="CCCBB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CBBE" w:themeColor="accent6"/>
          <w:insideH w:val="nil"/>
          <w:insideV w:val="nil"/>
        </w:tcBorders>
        <w:shd w:val="clear" w:color="auto" w:fill="FFFFFF" w:themeFill="background1"/>
      </w:tcPr>
    </w:tblStylePr>
    <w:tblStylePr w:type="lastCol">
      <w:tblPr/>
      <w:tcPr>
        <w:tcBorders>
          <w:top w:val="nil"/>
          <w:left w:val="single" w:sz="8" w:space="0" w:color="CCCBB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2EE" w:themeFill="accent6" w:themeFillTint="3F"/>
      </w:tcPr>
    </w:tblStylePr>
    <w:tblStylePr w:type="band1Horz">
      <w:tblPr/>
      <w:tcPr>
        <w:tcBorders>
          <w:top w:val="nil"/>
          <w:bottom w:val="nil"/>
          <w:insideH w:val="nil"/>
          <w:insideV w:val="nil"/>
        </w:tcBorders>
        <w:shd w:val="clear" w:color="auto" w:fill="F2F2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35044D"/>
    <w:rPr>
      <w:rFonts w:ascii="Times New Roman" w:hAnsi="Times New Roman" w:cs="Times New Roman"/>
      <w:sz w:val="24"/>
      <w:szCs w:val="24"/>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5044D"/>
    <w:rPr>
      <w:rFonts w:ascii="Times New Roman" w:hAnsi="Times New Roman" w:cs="Times New Roman"/>
      <w:sz w:val="24"/>
      <w:szCs w:val="24"/>
      <w:lang w:val="en-GB"/>
    </w:rPr>
    <w:tblPr>
      <w:tblStyleRowBandSize w:val="1"/>
      <w:tblStyleColBandSize w:val="1"/>
      <w:tblBorders>
        <w:top w:val="single" w:sz="8" w:space="0" w:color="D2AACF" w:themeColor="accent1" w:themeTint="BF"/>
        <w:left w:val="single" w:sz="8" w:space="0" w:color="D2AACF" w:themeColor="accent1" w:themeTint="BF"/>
        <w:bottom w:val="single" w:sz="8" w:space="0" w:color="D2AACF" w:themeColor="accent1" w:themeTint="BF"/>
        <w:right w:val="single" w:sz="8" w:space="0" w:color="D2AACF" w:themeColor="accent1" w:themeTint="BF"/>
        <w:insideH w:val="single" w:sz="8" w:space="0" w:color="D2AACF" w:themeColor="accent1" w:themeTint="BF"/>
      </w:tblBorders>
    </w:tblPr>
    <w:tblStylePr w:type="firstRow">
      <w:pPr>
        <w:spacing w:before="0" w:after="0" w:line="240" w:lineRule="auto"/>
      </w:pPr>
      <w:rPr>
        <w:b/>
        <w:bCs/>
        <w:color w:val="FFFFFF" w:themeColor="background1"/>
      </w:rPr>
      <w:tblPr/>
      <w:tcPr>
        <w:tcBorders>
          <w:top w:val="single" w:sz="8" w:space="0" w:color="D2AACF" w:themeColor="accent1" w:themeTint="BF"/>
          <w:left w:val="single" w:sz="8" w:space="0" w:color="D2AACF" w:themeColor="accent1" w:themeTint="BF"/>
          <w:bottom w:val="single" w:sz="8" w:space="0" w:color="D2AACF" w:themeColor="accent1" w:themeTint="BF"/>
          <w:right w:val="single" w:sz="8" w:space="0" w:color="D2AACF" w:themeColor="accent1" w:themeTint="BF"/>
          <w:insideH w:val="nil"/>
          <w:insideV w:val="nil"/>
        </w:tcBorders>
        <w:shd w:val="clear" w:color="auto" w:fill="C38EC0" w:themeFill="accent1"/>
      </w:tcPr>
    </w:tblStylePr>
    <w:tblStylePr w:type="lastRow">
      <w:pPr>
        <w:spacing w:before="0" w:after="0" w:line="240" w:lineRule="auto"/>
      </w:pPr>
      <w:rPr>
        <w:b/>
        <w:bCs/>
      </w:rPr>
      <w:tblPr/>
      <w:tcPr>
        <w:tcBorders>
          <w:top w:val="double" w:sz="6" w:space="0" w:color="D2AACF" w:themeColor="accent1" w:themeTint="BF"/>
          <w:left w:val="single" w:sz="8" w:space="0" w:color="D2AACF" w:themeColor="accent1" w:themeTint="BF"/>
          <w:bottom w:val="single" w:sz="8" w:space="0" w:color="D2AACF" w:themeColor="accent1" w:themeTint="BF"/>
          <w:right w:val="single" w:sz="8" w:space="0" w:color="D2AA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E2EF" w:themeFill="accent1" w:themeFillTint="3F"/>
      </w:tcPr>
    </w:tblStylePr>
    <w:tblStylePr w:type="band1Horz">
      <w:tblPr/>
      <w:tcPr>
        <w:tcBorders>
          <w:insideH w:val="nil"/>
          <w:insideV w:val="nil"/>
        </w:tcBorders>
        <w:shd w:val="clear" w:color="auto" w:fill="F0E2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5044D"/>
    <w:rPr>
      <w:rFonts w:ascii="Times New Roman" w:hAnsi="Times New Roman" w:cs="Times New Roman"/>
      <w:sz w:val="24"/>
      <w:szCs w:val="24"/>
      <w:lang w:val="en-GB"/>
    </w:rPr>
    <w:tblPr>
      <w:tblStyleRowBandSize w:val="1"/>
      <w:tblStyleColBandSize w:val="1"/>
      <w:tblBorders>
        <w:top w:val="single" w:sz="8" w:space="0" w:color="D8BA7A" w:themeColor="accent2" w:themeTint="BF"/>
        <w:left w:val="single" w:sz="8" w:space="0" w:color="D8BA7A" w:themeColor="accent2" w:themeTint="BF"/>
        <w:bottom w:val="single" w:sz="8" w:space="0" w:color="D8BA7A" w:themeColor="accent2" w:themeTint="BF"/>
        <w:right w:val="single" w:sz="8" w:space="0" w:color="D8BA7A" w:themeColor="accent2" w:themeTint="BF"/>
        <w:insideH w:val="single" w:sz="8" w:space="0" w:color="D8BA7A" w:themeColor="accent2" w:themeTint="BF"/>
      </w:tblBorders>
    </w:tblPr>
    <w:tblStylePr w:type="firstRow">
      <w:pPr>
        <w:spacing w:before="0" w:after="0" w:line="240" w:lineRule="auto"/>
      </w:pPr>
      <w:rPr>
        <w:b/>
        <w:bCs/>
        <w:color w:val="FFFFFF" w:themeColor="background1"/>
      </w:rPr>
      <w:tblPr/>
      <w:tcPr>
        <w:tcBorders>
          <w:top w:val="single" w:sz="8" w:space="0" w:color="D8BA7A" w:themeColor="accent2" w:themeTint="BF"/>
          <w:left w:val="single" w:sz="8" w:space="0" w:color="D8BA7A" w:themeColor="accent2" w:themeTint="BF"/>
          <w:bottom w:val="single" w:sz="8" w:space="0" w:color="D8BA7A" w:themeColor="accent2" w:themeTint="BF"/>
          <w:right w:val="single" w:sz="8" w:space="0" w:color="D8BA7A" w:themeColor="accent2" w:themeTint="BF"/>
          <w:insideH w:val="nil"/>
          <w:insideV w:val="nil"/>
        </w:tcBorders>
        <w:shd w:val="clear" w:color="auto" w:fill="CCA44F" w:themeFill="accent2"/>
      </w:tcPr>
    </w:tblStylePr>
    <w:tblStylePr w:type="lastRow">
      <w:pPr>
        <w:spacing w:before="0" w:after="0" w:line="240" w:lineRule="auto"/>
      </w:pPr>
      <w:rPr>
        <w:b/>
        <w:bCs/>
      </w:rPr>
      <w:tblPr/>
      <w:tcPr>
        <w:tcBorders>
          <w:top w:val="double" w:sz="6" w:space="0" w:color="D8BA7A" w:themeColor="accent2" w:themeTint="BF"/>
          <w:left w:val="single" w:sz="8" w:space="0" w:color="D8BA7A" w:themeColor="accent2" w:themeTint="BF"/>
          <w:bottom w:val="single" w:sz="8" w:space="0" w:color="D8BA7A" w:themeColor="accent2" w:themeTint="BF"/>
          <w:right w:val="single" w:sz="8" w:space="0" w:color="D8BA7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8D3" w:themeFill="accent2" w:themeFillTint="3F"/>
      </w:tcPr>
    </w:tblStylePr>
    <w:tblStylePr w:type="band1Horz">
      <w:tblPr/>
      <w:tcPr>
        <w:tcBorders>
          <w:insideH w:val="nil"/>
          <w:insideV w:val="nil"/>
        </w:tcBorders>
        <w:shd w:val="clear" w:color="auto" w:fill="F2E8D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5044D"/>
    <w:rPr>
      <w:rFonts w:ascii="Times New Roman" w:hAnsi="Times New Roman" w:cs="Times New Roman"/>
      <w:sz w:val="24"/>
      <w:szCs w:val="24"/>
      <w:lang w:val="en-GB"/>
    </w:rPr>
    <w:tblPr>
      <w:tblStyleRowBandSize w:val="1"/>
      <w:tblStyleColBandSize w:val="1"/>
      <w:tblBorders>
        <w:top w:val="single" w:sz="8" w:space="0" w:color="FF8D67" w:themeColor="accent3" w:themeTint="BF"/>
        <w:left w:val="single" w:sz="8" w:space="0" w:color="FF8D67" w:themeColor="accent3" w:themeTint="BF"/>
        <w:bottom w:val="single" w:sz="8" w:space="0" w:color="FF8D67" w:themeColor="accent3" w:themeTint="BF"/>
        <w:right w:val="single" w:sz="8" w:space="0" w:color="FF8D67" w:themeColor="accent3" w:themeTint="BF"/>
        <w:insideH w:val="single" w:sz="8" w:space="0" w:color="FF8D67" w:themeColor="accent3" w:themeTint="BF"/>
      </w:tblBorders>
    </w:tblPr>
    <w:tblStylePr w:type="firstRow">
      <w:pPr>
        <w:spacing w:before="0" w:after="0" w:line="240" w:lineRule="auto"/>
      </w:pPr>
      <w:rPr>
        <w:b/>
        <w:bCs/>
        <w:color w:val="FFFFFF" w:themeColor="background1"/>
      </w:rPr>
      <w:tblPr/>
      <w:tcPr>
        <w:tcBorders>
          <w:top w:val="single" w:sz="8" w:space="0" w:color="FF8D67" w:themeColor="accent3" w:themeTint="BF"/>
          <w:left w:val="single" w:sz="8" w:space="0" w:color="FF8D67" w:themeColor="accent3" w:themeTint="BF"/>
          <w:bottom w:val="single" w:sz="8" w:space="0" w:color="FF8D67" w:themeColor="accent3" w:themeTint="BF"/>
          <w:right w:val="single" w:sz="8" w:space="0" w:color="FF8D67" w:themeColor="accent3" w:themeTint="BF"/>
          <w:insideH w:val="nil"/>
          <w:insideV w:val="nil"/>
        </w:tcBorders>
        <w:shd w:val="clear" w:color="auto" w:fill="FF6835" w:themeFill="accent3"/>
      </w:tcPr>
    </w:tblStylePr>
    <w:tblStylePr w:type="lastRow">
      <w:pPr>
        <w:spacing w:before="0" w:after="0" w:line="240" w:lineRule="auto"/>
      </w:pPr>
      <w:rPr>
        <w:b/>
        <w:bCs/>
      </w:rPr>
      <w:tblPr/>
      <w:tcPr>
        <w:tcBorders>
          <w:top w:val="double" w:sz="6" w:space="0" w:color="FF8D67" w:themeColor="accent3" w:themeTint="BF"/>
          <w:left w:val="single" w:sz="8" w:space="0" w:color="FF8D67" w:themeColor="accent3" w:themeTint="BF"/>
          <w:bottom w:val="single" w:sz="8" w:space="0" w:color="FF8D67" w:themeColor="accent3" w:themeTint="BF"/>
          <w:right w:val="single" w:sz="8" w:space="0" w:color="FF8D6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9CD" w:themeFill="accent3" w:themeFillTint="3F"/>
      </w:tcPr>
    </w:tblStylePr>
    <w:tblStylePr w:type="band1Horz">
      <w:tblPr/>
      <w:tcPr>
        <w:tcBorders>
          <w:insideH w:val="nil"/>
          <w:insideV w:val="nil"/>
        </w:tcBorders>
        <w:shd w:val="clear" w:color="auto" w:fill="FFD9C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5044D"/>
    <w:rPr>
      <w:rFonts w:ascii="Times New Roman" w:hAnsi="Times New Roman" w:cs="Times New Roman"/>
      <w:sz w:val="24"/>
      <w:szCs w:val="24"/>
      <w:lang w:val="en-GB"/>
    </w:rPr>
    <w:tblPr>
      <w:tblStyleRowBandSize w:val="1"/>
      <w:tblStyleColBandSize w:val="1"/>
      <w:tblBorders>
        <w:top w:val="single" w:sz="8" w:space="0" w:color="93AAFF" w:themeColor="accent4" w:themeTint="BF"/>
        <w:left w:val="single" w:sz="8" w:space="0" w:color="93AAFF" w:themeColor="accent4" w:themeTint="BF"/>
        <w:bottom w:val="single" w:sz="8" w:space="0" w:color="93AAFF" w:themeColor="accent4" w:themeTint="BF"/>
        <w:right w:val="single" w:sz="8" w:space="0" w:color="93AAFF" w:themeColor="accent4" w:themeTint="BF"/>
        <w:insideH w:val="single" w:sz="8" w:space="0" w:color="93AAFF" w:themeColor="accent4" w:themeTint="BF"/>
      </w:tblBorders>
    </w:tblPr>
    <w:tblStylePr w:type="firstRow">
      <w:pPr>
        <w:spacing w:before="0" w:after="0" w:line="240" w:lineRule="auto"/>
      </w:pPr>
      <w:rPr>
        <w:b/>
        <w:bCs/>
        <w:color w:val="FFFFFF" w:themeColor="background1"/>
      </w:rPr>
      <w:tblPr/>
      <w:tcPr>
        <w:tcBorders>
          <w:top w:val="single" w:sz="8" w:space="0" w:color="93AAFF" w:themeColor="accent4" w:themeTint="BF"/>
          <w:left w:val="single" w:sz="8" w:space="0" w:color="93AAFF" w:themeColor="accent4" w:themeTint="BF"/>
          <w:bottom w:val="single" w:sz="8" w:space="0" w:color="93AAFF" w:themeColor="accent4" w:themeTint="BF"/>
          <w:right w:val="single" w:sz="8" w:space="0" w:color="93AAFF" w:themeColor="accent4" w:themeTint="BF"/>
          <w:insideH w:val="nil"/>
          <w:insideV w:val="nil"/>
        </w:tcBorders>
        <w:shd w:val="clear" w:color="auto" w:fill="708FFF" w:themeFill="accent4"/>
      </w:tcPr>
    </w:tblStylePr>
    <w:tblStylePr w:type="lastRow">
      <w:pPr>
        <w:spacing w:before="0" w:after="0" w:line="240" w:lineRule="auto"/>
      </w:pPr>
      <w:rPr>
        <w:b/>
        <w:bCs/>
      </w:rPr>
      <w:tblPr/>
      <w:tcPr>
        <w:tcBorders>
          <w:top w:val="double" w:sz="6" w:space="0" w:color="93AAFF" w:themeColor="accent4" w:themeTint="BF"/>
          <w:left w:val="single" w:sz="8" w:space="0" w:color="93AAFF" w:themeColor="accent4" w:themeTint="BF"/>
          <w:bottom w:val="single" w:sz="8" w:space="0" w:color="93AAFF" w:themeColor="accent4" w:themeTint="BF"/>
          <w:right w:val="single" w:sz="8" w:space="0" w:color="93AA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BE3FF" w:themeFill="accent4" w:themeFillTint="3F"/>
      </w:tcPr>
    </w:tblStylePr>
    <w:tblStylePr w:type="band1Horz">
      <w:tblPr/>
      <w:tcPr>
        <w:tcBorders>
          <w:insideH w:val="nil"/>
          <w:insideV w:val="nil"/>
        </w:tcBorders>
        <w:shd w:val="clear" w:color="auto" w:fill="DBE3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5044D"/>
    <w:rPr>
      <w:rFonts w:ascii="Times New Roman" w:hAnsi="Times New Roman" w:cs="Times New Roman"/>
      <w:sz w:val="24"/>
      <w:szCs w:val="24"/>
      <w:lang w:val="en-GB"/>
    </w:rPr>
    <w:tblPr>
      <w:tblStyleRowBandSize w:val="1"/>
      <w:tblStyleColBandSize w:val="1"/>
      <w:tblBorders>
        <w:top w:val="single" w:sz="8" w:space="0" w:color="74CC7C" w:themeColor="accent5" w:themeTint="BF"/>
        <w:left w:val="single" w:sz="8" w:space="0" w:color="74CC7C" w:themeColor="accent5" w:themeTint="BF"/>
        <w:bottom w:val="single" w:sz="8" w:space="0" w:color="74CC7C" w:themeColor="accent5" w:themeTint="BF"/>
        <w:right w:val="single" w:sz="8" w:space="0" w:color="74CC7C" w:themeColor="accent5" w:themeTint="BF"/>
        <w:insideH w:val="single" w:sz="8" w:space="0" w:color="74CC7C" w:themeColor="accent5" w:themeTint="BF"/>
      </w:tblBorders>
    </w:tblPr>
    <w:tblStylePr w:type="firstRow">
      <w:pPr>
        <w:spacing w:before="0" w:after="0" w:line="240" w:lineRule="auto"/>
      </w:pPr>
      <w:rPr>
        <w:b/>
        <w:bCs/>
        <w:color w:val="FFFFFF" w:themeColor="background1"/>
      </w:rPr>
      <w:tblPr/>
      <w:tcPr>
        <w:tcBorders>
          <w:top w:val="single" w:sz="8" w:space="0" w:color="74CC7C" w:themeColor="accent5" w:themeTint="BF"/>
          <w:left w:val="single" w:sz="8" w:space="0" w:color="74CC7C" w:themeColor="accent5" w:themeTint="BF"/>
          <w:bottom w:val="single" w:sz="8" w:space="0" w:color="74CC7C" w:themeColor="accent5" w:themeTint="BF"/>
          <w:right w:val="single" w:sz="8" w:space="0" w:color="74CC7C" w:themeColor="accent5" w:themeTint="BF"/>
          <w:insideH w:val="nil"/>
          <w:insideV w:val="nil"/>
        </w:tcBorders>
        <w:shd w:val="clear" w:color="auto" w:fill="46BB51" w:themeFill="accent5"/>
      </w:tcPr>
    </w:tblStylePr>
    <w:tblStylePr w:type="lastRow">
      <w:pPr>
        <w:spacing w:before="0" w:after="0" w:line="240" w:lineRule="auto"/>
      </w:pPr>
      <w:rPr>
        <w:b/>
        <w:bCs/>
      </w:rPr>
      <w:tblPr/>
      <w:tcPr>
        <w:tcBorders>
          <w:top w:val="double" w:sz="6" w:space="0" w:color="74CC7C" w:themeColor="accent5" w:themeTint="BF"/>
          <w:left w:val="single" w:sz="8" w:space="0" w:color="74CC7C" w:themeColor="accent5" w:themeTint="BF"/>
          <w:bottom w:val="single" w:sz="8" w:space="0" w:color="74CC7C" w:themeColor="accent5" w:themeTint="BF"/>
          <w:right w:val="single" w:sz="8" w:space="0" w:color="74CC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1EED3" w:themeFill="accent5" w:themeFillTint="3F"/>
      </w:tcPr>
    </w:tblStylePr>
    <w:tblStylePr w:type="band1Horz">
      <w:tblPr/>
      <w:tcPr>
        <w:tcBorders>
          <w:insideH w:val="nil"/>
          <w:insideV w:val="nil"/>
        </w:tcBorders>
        <w:shd w:val="clear" w:color="auto" w:fill="D1EED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5044D"/>
    <w:rPr>
      <w:rFonts w:ascii="Times New Roman" w:hAnsi="Times New Roman" w:cs="Times New Roman"/>
      <w:sz w:val="24"/>
      <w:szCs w:val="24"/>
      <w:lang w:val="en-GB"/>
    </w:rPr>
    <w:tblPr>
      <w:tblStyleRowBandSize w:val="1"/>
      <w:tblStyleColBandSize w:val="1"/>
      <w:tblBorders>
        <w:top w:val="single" w:sz="8" w:space="0" w:color="D8D8CE" w:themeColor="accent6" w:themeTint="BF"/>
        <w:left w:val="single" w:sz="8" w:space="0" w:color="D8D8CE" w:themeColor="accent6" w:themeTint="BF"/>
        <w:bottom w:val="single" w:sz="8" w:space="0" w:color="D8D8CE" w:themeColor="accent6" w:themeTint="BF"/>
        <w:right w:val="single" w:sz="8" w:space="0" w:color="D8D8CE" w:themeColor="accent6" w:themeTint="BF"/>
        <w:insideH w:val="single" w:sz="8" w:space="0" w:color="D8D8CE" w:themeColor="accent6" w:themeTint="BF"/>
      </w:tblBorders>
    </w:tblPr>
    <w:tblStylePr w:type="firstRow">
      <w:pPr>
        <w:spacing w:before="0" w:after="0" w:line="240" w:lineRule="auto"/>
      </w:pPr>
      <w:rPr>
        <w:b/>
        <w:bCs/>
        <w:color w:val="FFFFFF" w:themeColor="background1"/>
      </w:rPr>
      <w:tblPr/>
      <w:tcPr>
        <w:tcBorders>
          <w:top w:val="single" w:sz="8" w:space="0" w:color="D8D8CE" w:themeColor="accent6" w:themeTint="BF"/>
          <w:left w:val="single" w:sz="8" w:space="0" w:color="D8D8CE" w:themeColor="accent6" w:themeTint="BF"/>
          <w:bottom w:val="single" w:sz="8" w:space="0" w:color="D8D8CE" w:themeColor="accent6" w:themeTint="BF"/>
          <w:right w:val="single" w:sz="8" w:space="0" w:color="D8D8CE" w:themeColor="accent6" w:themeTint="BF"/>
          <w:insideH w:val="nil"/>
          <w:insideV w:val="nil"/>
        </w:tcBorders>
        <w:shd w:val="clear" w:color="auto" w:fill="CCCBBE" w:themeFill="accent6"/>
      </w:tcPr>
    </w:tblStylePr>
    <w:tblStylePr w:type="lastRow">
      <w:pPr>
        <w:spacing w:before="0" w:after="0" w:line="240" w:lineRule="auto"/>
      </w:pPr>
      <w:rPr>
        <w:b/>
        <w:bCs/>
      </w:rPr>
      <w:tblPr/>
      <w:tcPr>
        <w:tcBorders>
          <w:top w:val="double" w:sz="6" w:space="0" w:color="D8D8CE" w:themeColor="accent6" w:themeTint="BF"/>
          <w:left w:val="single" w:sz="8" w:space="0" w:color="D8D8CE" w:themeColor="accent6" w:themeTint="BF"/>
          <w:bottom w:val="single" w:sz="8" w:space="0" w:color="D8D8CE" w:themeColor="accent6" w:themeTint="BF"/>
          <w:right w:val="single" w:sz="8" w:space="0" w:color="D8D8C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2EE" w:themeFill="accent6" w:themeFillTint="3F"/>
      </w:tcPr>
    </w:tblStylePr>
    <w:tblStylePr w:type="band1Horz">
      <w:tblPr/>
      <w:tcPr>
        <w:tcBorders>
          <w:insideH w:val="nil"/>
          <w:insideV w:val="nil"/>
        </w:tcBorders>
        <w:shd w:val="clear" w:color="auto" w:fill="F2F2E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5044D"/>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5044D"/>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8E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8EC0" w:themeFill="accent1"/>
      </w:tcPr>
    </w:tblStylePr>
    <w:tblStylePr w:type="lastCol">
      <w:rPr>
        <w:b/>
        <w:bCs/>
        <w:color w:val="FFFFFF" w:themeColor="background1"/>
      </w:rPr>
      <w:tblPr/>
      <w:tcPr>
        <w:tcBorders>
          <w:left w:val="nil"/>
          <w:right w:val="nil"/>
          <w:insideH w:val="nil"/>
          <w:insideV w:val="nil"/>
        </w:tcBorders>
        <w:shd w:val="clear" w:color="auto" w:fill="C38E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5044D"/>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A44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A44F" w:themeFill="accent2"/>
      </w:tcPr>
    </w:tblStylePr>
    <w:tblStylePr w:type="lastCol">
      <w:rPr>
        <w:b/>
        <w:bCs/>
        <w:color w:val="FFFFFF" w:themeColor="background1"/>
      </w:rPr>
      <w:tblPr/>
      <w:tcPr>
        <w:tcBorders>
          <w:left w:val="nil"/>
          <w:right w:val="nil"/>
          <w:insideH w:val="nil"/>
          <w:insideV w:val="nil"/>
        </w:tcBorders>
        <w:shd w:val="clear" w:color="auto" w:fill="CCA44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5044D"/>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8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835" w:themeFill="accent3"/>
      </w:tcPr>
    </w:tblStylePr>
    <w:tblStylePr w:type="lastCol">
      <w:rPr>
        <w:b/>
        <w:bCs/>
        <w:color w:val="FFFFFF" w:themeColor="background1"/>
      </w:rPr>
      <w:tblPr/>
      <w:tcPr>
        <w:tcBorders>
          <w:left w:val="nil"/>
          <w:right w:val="nil"/>
          <w:insideH w:val="nil"/>
          <w:insideV w:val="nil"/>
        </w:tcBorders>
        <w:shd w:val="clear" w:color="auto" w:fill="FF68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044D"/>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8F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8FFF" w:themeFill="accent4"/>
      </w:tcPr>
    </w:tblStylePr>
    <w:tblStylePr w:type="lastCol">
      <w:rPr>
        <w:b/>
        <w:bCs/>
        <w:color w:val="FFFFFF" w:themeColor="background1"/>
      </w:rPr>
      <w:tblPr/>
      <w:tcPr>
        <w:tcBorders>
          <w:left w:val="nil"/>
          <w:right w:val="nil"/>
          <w:insideH w:val="nil"/>
          <w:insideV w:val="nil"/>
        </w:tcBorders>
        <w:shd w:val="clear" w:color="auto" w:fill="708F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5044D"/>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B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B51" w:themeFill="accent5"/>
      </w:tcPr>
    </w:tblStylePr>
    <w:tblStylePr w:type="lastCol">
      <w:rPr>
        <w:b/>
        <w:bCs/>
        <w:color w:val="FFFFFF" w:themeColor="background1"/>
      </w:rPr>
      <w:tblPr/>
      <w:tcPr>
        <w:tcBorders>
          <w:left w:val="nil"/>
          <w:right w:val="nil"/>
          <w:insideH w:val="nil"/>
          <w:insideV w:val="nil"/>
        </w:tcBorders>
        <w:shd w:val="clear" w:color="auto" w:fill="46BB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5044D"/>
    <w:rPr>
      <w:rFonts w:ascii="Times New Roman"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CBB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CBBE" w:themeFill="accent6"/>
      </w:tcPr>
    </w:tblStylePr>
    <w:tblStylePr w:type="lastCol">
      <w:rPr>
        <w:b/>
        <w:bCs/>
        <w:color w:val="FFFFFF" w:themeColor="background1"/>
      </w:rPr>
      <w:tblPr/>
      <w:tcPr>
        <w:tcBorders>
          <w:left w:val="nil"/>
          <w:right w:val="nil"/>
          <w:insideH w:val="nil"/>
          <w:insideV w:val="nil"/>
        </w:tcBorders>
        <w:shd w:val="clear" w:color="auto" w:fill="CCCBB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5044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5044D"/>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35044D"/>
  </w:style>
  <w:style w:type="paragraph" w:styleId="NormalIndent">
    <w:name w:val="Normal Indent"/>
    <w:basedOn w:val="Normal"/>
    <w:uiPriority w:val="99"/>
    <w:semiHidden/>
    <w:rsid w:val="0035044D"/>
    <w:pPr>
      <w:ind w:left="720"/>
    </w:pPr>
  </w:style>
  <w:style w:type="paragraph" w:styleId="NoteHeading">
    <w:name w:val="Note Heading"/>
    <w:basedOn w:val="Normal"/>
    <w:next w:val="Normal"/>
    <w:link w:val="NoteHeadingChar"/>
    <w:uiPriority w:val="99"/>
    <w:semiHidden/>
    <w:rsid w:val="0035044D"/>
  </w:style>
  <w:style w:type="character" w:customStyle="1" w:styleId="NoteHeadingChar">
    <w:name w:val="Note Heading Char"/>
    <w:basedOn w:val="DefaultParagraphFont"/>
    <w:link w:val="NoteHeading"/>
    <w:uiPriority w:val="99"/>
    <w:semiHidden/>
    <w:rsid w:val="0035044D"/>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35044D"/>
    <w:rPr>
      <w:color w:val="808080"/>
      <w:lang w:val="en-GB"/>
    </w:rPr>
  </w:style>
  <w:style w:type="paragraph" w:styleId="PlainText">
    <w:name w:val="Plain Text"/>
    <w:basedOn w:val="Normal"/>
    <w:link w:val="PlainTextChar"/>
    <w:uiPriority w:val="99"/>
    <w:semiHidden/>
    <w:rsid w:val="0035044D"/>
    <w:rPr>
      <w:rFonts w:ascii="Consolas" w:hAnsi="Consolas" w:cs="Consolas"/>
      <w:sz w:val="21"/>
      <w:szCs w:val="21"/>
    </w:rPr>
  </w:style>
  <w:style w:type="character" w:customStyle="1" w:styleId="PlainTextChar">
    <w:name w:val="Plain Text Char"/>
    <w:basedOn w:val="DefaultParagraphFont"/>
    <w:link w:val="PlainText"/>
    <w:uiPriority w:val="99"/>
    <w:semiHidden/>
    <w:rsid w:val="0035044D"/>
    <w:rPr>
      <w:rFonts w:ascii="Consolas" w:eastAsia="Times New Roman" w:hAnsi="Consolas" w:cs="Consolas"/>
      <w:sz w:val="21"/>
      <w:szCs w:val="21"/>
      <w:lang w:val="en-GB"/>
    </w:rPr>
  </w:style>
  <w:style w:type="paragraph" w:styleId="Quote">
    <w:name w:val="Quote"/>
    <w:basedOn w:val="Normal"/>
    <w:next w:val="Normal"/>
    <w:link w:val="QuoteChar"/>
    <w:uiPriority w:val="29"/>
    <w:rsid w:val="0035044D"/>
    <w:rPr>
      <w:i/>
      <w:iCs/>
      <w:color w:val="000000" w:themeColor="text1"/>
    </w:rPr>
  </w:style>
  <w:style w:type="character" w:customStyle="1" w:styleId="QuoteChar">
    <w:name w:val="Quote Char"/>
    <w:basedOn w:val="DefaultParagraphFont"/>
    <w:link w:val="Quote"/>
    <w:uiPriority w:val="29"/>
    <w:rsid w:val="0035044D"/>
    <w:rPr>
      <w:rFonts w:ascii="Times New Roman" w:eastAsia="Times New Roman" w:hAnsi="Times New Roman" w:cs="Times New Roman"/>
      <w:i/>
      <w:iCs/>
      <w:color w:val="000000" w:themeColor="text1"/>
      <w:sz w:val="24"/>
      <w:szCs w:val="24"/>
      <w:lang w:val="en-GB"/>
    </w:rPr>
  </w:style>
  <w:style w:type="paragraph" w:styleId="Signature">
    <w:name w:val="Signature"/>
    <w:basedOn w:val="Normal"/>
    <w:link w:val="SignatureChar"/>
    <w:uiPriority w:val="99"/>
    <w:semiHidden/>
    <w:rsid w:val="0035044D"/>
    <w:pPr>
      <w:ind w:left="4320"/>
    </w:pPr>
  </w:style>
  <w:style w:type="character" w:customStyle="1" w:styleId="SignatureChar">
    <w:name w:val="Signature Char"/>
    <w:basedOn w:val="DefaultParagraphFont"/>
    <w:link w:val="Signature"/>
    <w:uiPriority w:val="99"/>
    <w:semiHidden/>
    <w:rsid w:val="0035044D"/>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35044D"/>
    <w:rPr>
      <w:b/>
      <w:bCs/>
      <w:lang w:val="en-GB"/>
    </w:rPr>
  </w:style>
  <w:style w:type="paragraph" w:styleId="Subtitle">
    <w:name w:val="Subtitle"/>
    <w:basedOn w:val="Normal"/>
    <w:next w:val="Normal"/>
    <w:link w:val="SubtitleChar"/>
    <w:uiPriority w:val="11"/>
    <w:rsid w:val="008C37D6"/>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8C37D6"/>
    <w:rPr>
      <w:rFonts w:asciiTheme="majorHAnsi" w:eastAsiaTheme="majorEastAsia" w:hAnsiTheme="majorHAnsi" w:cstheme="majorBidi"/>
      <w:i/>
      <w:iCs/>
      <w:spacing w:val="15"/>
      <w:lang w:val="en-GB"/>
    </w:rPr>
  </w:style>
  <w:style w:type="character" w:styleId="SubtleEmphasis">
    <w:name w:val="Subtle Emphasis"/>
    <w:basedOn w:val="DefaultParagraphFont"/>
    <w:uiPriority w:val="19"/>
    <w:rsid w:val="0035044D"/>
    <w:rPr>
      <w:i/>
      <w:iCs/>
      <w:color w:val="808080" w:themeColor="text1" w:themeTint="7F"/>
      <w:lang w:val="en-GB"/>
    </w:rPr>
  </w:style>
  <w:style w:type="character" w:styleId="SubtleReference">
    <w:name w:val="Subtle Reference"/>
    <w:basedOn w:val="DefaultParagraphFont"/>
    <w:uiPriority w:val="31"/>
    <w:rsid w:val="00205DEB"/>
    <w:rPr>
      <w:caps w:val="0"/>
      <w:smallCaps w:val="0"/>
      <w:color w:val="auto"/>
      <w:u w:val="single"/>
      <w:lang w:val="en-GB"/>
    </w:rPr>
  </w:style>
  <w:style w:type="table" w:styleId="Table3Deffects1">
    <w:name w:val="Table 3D effects 1"/>
    <w:basedOn w:val="TableNormal"/>
    <w:uiPriority w:val="99"/>
    <w:semiHidden/>
    <w:unhideWhenUsed/>
    <w:rsid w:val="0035044D"/>
    <w:rPr>
      <w:rFonts w:ascii="Times New Roman"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5044D"/>
    <w:rPr>
      <w:rFonts w:ascii="Times New Roman"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5044D"/>
    <w:rPr>
      <w:rFonts w:ascii="Times New Roman"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5044D"/>
    <w:rPr>
      <w:rFonts w:ascii="Times New Roman"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5044D"/>
    <w:rPr>
      <w:rFonts w:ascii="Times New Roman"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5044D"/>
    <w:rPr>
      <w:rFonts w:ascii="Times New Roman"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5044D"/>
    <w:rPr>
      <w:rFonts w:ascii="Times New Roman"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35044D"/>
    <w:rPr>
      <w:rFonts w:ascii="Times New Roman"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35044D"/>
    <w:rPr>
      <w:rFonts w:ascii="Times New Roman"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35044D"/>
    <w:rPr>
      <w:rFonts w:ascii="Times New Roman"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5044D"/>
    <w:rPr>
      <w:rFonts w:ascii="Times New Roman"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5044D"/>
    <w:rPr>
      <w:rFonts w:ascii="Times New Roman"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5044D"/>
    <w:rPr>
      <w:rFonts w:ascii="Times New Roman"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5044D"/>
    <w:rPr>
      <w:rFonts w:ascii="Times New Roman"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5044D"/>
    <w:rPr>
      <w:rFonts w:ascii="Times New Roman"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5044D"/>
    <w:rPr>
      <w:rFonts w:ascii="Times New Roman"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5044D"/>
    <w:rPr>
      <w:rFonts w:ascii="Times New Roman"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5044D"/>
    <w:rPr>
      <w:rFonts w:ascii="Times New Roman"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5044D"/>
    <w:rPr>
      <w:rFonts w:ascii="Times New Roman"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5044D"/>
    <w:rPr>
      <w:rFonts w:ascii="Times New Roman"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5044D"/>
    <w:rPr>
      <w:rFonts w:ascii="Times New Roman"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5044D"/>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5044D"/>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5044D"/>
    <w:rPr>
      <w:rFonts w:ascii="Times New Roman"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5044D"/>
    <w:rPr>
      <w:rFonts w:ascii="Times New Roman"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5044D"/>
    <w:rPr>
      <w:rFonts w:ascii="Times New Roman"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5044D"/>
    <w:rPr>
      <w:rFonts w:ascii="Times New Roman"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5044D"/>
    <w:rPr>
      <w:rFonts w:ascii="Times New Roman"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5044D"/>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5044D"/>
    <w:rPr>
      <w:rFonts w:ascii="Times New Roman"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5044D"/>
    <w:rPr>
      <w:rFonts w:ascii="Times New Roman"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5044D"/>
    <w:rPr>
      <w:rFonts w:ascii="Times New Roman"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5044D"/>
    <w:rPr>
      <w:rFonts w:ascii="Times New Roman"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5044D"/>
    <w:pPr>
      <w:ind w:left="240" w:hanging="240"/>
    </w:pPr>
  </w:style>
  <w:style w:type="paragraph" w:styleId="TableofFigures">
    <w:name w:val="table of figures"/>
    <w:basedOn w:val="Normal"/>
    <w:next w:val="Normal"/>
    <w:uiPriority w:val="99"/>
    <w:semiHidden/>
    <w:rsid w:val="0035044D"/>
  </w:style>
  <w:style w:type="table" w:styleId="TableProfessional">
    <w:name w:val="Table Professional"/>
    <w:basedOn w:val="TableNormal"/>
    <w:uiPriority w:val="99"/>
    <w:semiHidden/>
    <w:unhideWhenUsed/>
    <w:rsid w:val="0035044D"/>
    <w:rPr>
      <w:rFonts w:ascii="Times New Roman"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5044D"/>
    <w:rPr>
      <w:rFonts w:ascii="Times New Roman"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5044D"/>
    <w:rPr>
      <w:rFonts w:ascii="Times New Roman"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5044D"/>
    <w:rPr>
      <w:rFonts w:ascii="Times New Roman"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5044D"/>
    <w:rPr>
      <w:rFonts w:ascii="Times New Roman"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5044D"/>
    <w:rPr>
      <w:rFonts w:ascii="Times New Roman"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5044D"/>
    <w:rPr>
      <w:rFonts w:ascii="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5044D"/>
    <w:rPr>
      <w:rFonts w:ascii="Times New Roman"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5044D"/>
    <w:rPr>
      <w:rFonts w:ascii="Times New Roman"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5044D"/>
    <w:rPr>
      <w:rFonts w:ascii="Times New Roman"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8C37D6"/>
    <w:pPr>
      <w:pBdr>
        <w:bottom w:val="single" w:sz="8" w:space="4" w:color="C38EC0"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8C37D6"/>
    <w:rPr>
      <w:rFonts w:asciiTheme="majorHAnsi" w:eastAsiaTheme="majorEastAsia" w:hAnsiTheme="majorHAnsi" w:cstheme="majorBidi"/>
      <w:spacing w:val="5"/>
      <w:kern w:val="28"/>
      <w:sz w:val="52"/>
      <w:szCs w:val="52"/>
      <w:lang w:val="en-GB"/>
    </w:rPr>
  </w:style>
  <w:style w:type="paragraph" w:styleId="TOCHeading">
    <w:name w:val="TOC Heading"/>
    <w:basedOn w:val="Heading1"/>
    <w:next w:val="Normal"/>
    <w:uiPriority w:val="39"/>
    <w:semiHidden/>
    <w:rsid w:val="0035044D"/>
    <w:pPr>
      <w:spacing w:before="480" w:after="0" w:line="240" w:lineRule="auto"/>
      <w:outlineLvl w:val="9"/>
    </w:pPr>
    <w:rPr>
      <w:rFonts w:asciiTheme="majorHAnsi" w:eastAsiaTheme="majorEastAsia" w:hAnsiTheme="majorHAnsi" w:cstheme="majorBidi"/>
      <w:bCs/>
      <w:caps w:val="0"/>
      <w:color w:val="A457A0" w:themeColor="accent1" w:themeShade="BF"/>
      <w:sz w:val="28"/>
      <w:szCs w:val="28"/>
    </w:rPr>
  </w:style>
  <w:style w:type="character" w:customStyle="1" w:styleId="BoldEmphasis">
    <w:name w:val="Bold Emphasis"/>
    <w:basedOn w:val="DefaultParagraphFont"/>
    <w:qFormat/>
    <w:rsid w:val="00061A47"/>
    <w:rPr>
      <w:rFonts w:ascii="Verdana" w:hAnsi="Verdana"/>
      <w:b/>
      <w:i/>
      <w:sz w:val="20"/>
      <w:lang w:val="en-GB"/>
    </w:rPr>
  </w:style>
  <w:style w:type="paragraph" w:customStyle="1" w:styleId="MarginNo">
    <w:name w:val="MarginNo"/>
    <w:basedOn w:val="Normal"/>
    <w:link w:val="MarginNoChar"/>
    <w:qFormat/>
    <w:rsid w:val="0035044D"/>
    <w:pPr>
      <w:numPr>
        <w:numId w:val="3"/>
      </w:numPr>
      <w:spacing w:after="180" w:line="280" w:lineRule="atLeast"/>
      <w:jc w:val="both"/>
    </w:pPr>
    <w:rPr>
      <w:rFonts w:eastAsia="SimSun"/>
    </w:rPr>
  </w:style>
  <w:style w:type="character" w:customStyle="1" w:styleId="MarginNoChar">
    <w:name w:val="MarginNo Char"/>
    <w:link w:val="MarginNo"/>
    <w:rsid w:val="0035044D"/>
    <w:rPr>
      <w:rFonts w:ascii="Times New Roman" w:eastAsia="SimSun" w:hAnsi="Times New Roman"/>
      <w:sz w:val="22"/>
      <w:lang w:val="en-GB"/>
    </w:rPr>
  </w:style>
  <w:style w:type="paragraph" w:customStyle="1" w:styleId="FWParties">
    <w:name w:val="FWParties"/>
    <w:basedOn w:val="Normal"/>
    <w:link w:val="FWPartiesChar"/>
    <w:qFormat/>
    <w:rsid w:val="0035044D"/>
    <w:pPr>
      <w:numPr>
        <w:numId w:val="2"/>
      </w:numPr>
      <w:spacing w:after="180" w:line="280" w:lineRule="atLeast"/>
      <w:jc w:val="both"/>
    </w:pPr>
    <w:rPr>
      <w:rFonts w:eastAsia="SimSun"/>
    </w:rPr>
  </w:style>
  <w:style w:type="character" w:customStyle="1" w:styleId="FWPartiesChar">
    <w:name w:val="FWParties Char"/>
    <w:link w:val="FWParties"/>
    <w:rsid w:val="0035044D"/>
    <w:rPr>
      <w:rFonts w:ascii="Times New Roman" w:eastAsia="SimSun" w:hAnsi="Times New Roman"/>
      <w:sz w:val="22"/>
      <w:lang w:val="en-GB"/>
    </w:rPr>
  </w:style>
  <w:style w:type="paragraph" w:styleId="ListParagraph">
    <w:name w:val="List Paragraph"/>
    <w:basedOn w:val="Normal"/>
    <w:uiPriority w:val="34"/>
    <w:qFormat/>
    <w:rsid w:val="0035044D"/>
    <w:pPr>
      <w:ind w:left="720"/>
      <w:contextualSpacing/>
    </w:pPr>
  </w:style>
  <w:style w:type="paragraph" w:customStyle="1" w:styleId="Randziffer">
    <w:name w:val="Randziffer"/>
    <w:basedOn w:val="Normal"/>
    <w:qFormat/>
    <w:rsid w:val="0035044D"/>
    <w:pPr>
      <w:numPr>
        <w:numId w:val="4"/>
      </w:numPr>
      <w:spacing w:after="180" w:line="280" w:lineRule="atLeast"/>
    </w:pPr>
  </w:style>
  <w:style w:type="paragraph" w:customStyle="1" w:styleId="Sch1Cont1">
    <w:name w:val="Sch1 Cont 1"/>
    <w:basedOn w:val="Normal"/>
    <w:link w:val="Sch1Cont1Char"/>
    <w:rsid w:val="007D20BB"/>
    <w:pPr>
      <w:spacing w:after="240" w:line="280" w:lineRule="exact"/>
      <w:jc w:val="both"/>
    </w:pPr>
    <w:rPr>
      <w:rFonts w:eastAsia="SimSun" w:cs="Times New Roman"/>
    </w:rPr>
  </w:style>
  <w:style w:type="character" w:customStyle="1" w:styleId="Sch1Cont1Char">
    <w:name w:val="Sch1 Cont 1 Char"/>
    <w:link w:val="Sch1Cont1"/>
    <w:rsid w:val="007D20BB"/>
    <w:rPr>
      <w:rFonts w:ascii="Times New Roman" w:eastAsia="SimSun" w:hAnsi="Times New Roman" w:cs="Times New Roman"/>
      <w:sz w:val="24"/>
      <w:lang w:val="en-GB"/>
    </w:rPr>
  </w:style>
  <w:style w:type="paragraph" w:customStyle="1" w:styleId="Sch1Cont2">
    <w:name w:val="Sch1 Cont 2"/>
    <w:basedOn w:val="Sch1Cont1"/>
    <w:link w:val="Sch1Cont2Char"/>
    <w:rsid w:val="007D20BB"/>
    <w:pPr>
      <w:spacing w:before="240" w:after="180"/>
      <w:ind w:left="720"/>
    </w:pPr>
  </w:style>
  <w:style w:type="character" w:customStyle="1" w:styleId="Sch1Cont2Char">
    <w:name w:val="Sch1 Cont 2 Char"/>
    <w:link w:val="Sch1Cont2"/>
    <w:rsid w:val="007D20BB"/>
    <w:rPr>
      <w:rFonts w:ascii="Times New Roman" w:eastAsia="SimSun" w:hAnsi="Times New Roman" w:cs="Times New Roman"/>
      <w:sz w:val="24"/>
      <w:lang w:val="en-GB"/>
    </w:rPr>
  </w:style>
  <w:style w:type="paragraph" w:customStyle="1" w:styleId="Sch1Cont3">
    <w:name w:val="Sch1 Cont 3"/>
    <w:basedOn w:val="Sch1Cont2"/>
    <w:link w:val="Sch1Cont3Char"/>
    <w:rsid w:val="007D20BB"/>
  </w:style>
  <w:style w:type="character" w:customStyle="1" w:styleId="Sch1Cont3Char">
    <w:name w:val="Sch1 Cont 3 Char"/>
    <w:link w:val="Sch1Cont3"/>
    <w:rsid w:val="007D20BB"/>
    <w:rPr>
      <w:rFonts w:ascii="Times New Roman" w:eastAsia="SimSun" w:hAnsi="Times New Roman" w:cs="Times New Roman"/>
      <w:sz w:val="24"/>
      <w:lang w:val="en-GB"/>
    </w:rPr>
  </w:style>
  <w:style w:type="paragraph" w:customStyle="1" w:styleId="Sch1Cont4">
    <w:name w:val="Sch1 Cont 4"/>
    <w:basedOn w:val="Sch1Cont3"/>
    <w:link w:val="Sch1Cont4Char"/>
    <w:rsid w:val="007D20BB"/>
    <w:pPr>
      <w:spacing w:before="0"/>
    </w:pPr>
  </w:style>
  <w:style w:type="character" w:customStyle="1" w:styleId="Sch1Cont4Char">
    <w:name w:val="Sch1 Cont 4 Char"/>
    <w:link w:val="Sch1Cont4"/>
    <w:rsid w:val="007D20BB"/>
    <w:rPr>
      <w:rFonts w:ascii="Times New Roman" w:eastAsia="SimSun" w:hAnsi="Times New Roman" w:cs="Times New Roman"/>
      <w:sz w:val="24"/>
      <w:lang w:val="en-GB"/>
    </w:rPr>
  </w:style>
  <w:style w:type="paragraph" w:customStyle="1" w:styleId="Sch1Cont5">
    <w:name w:val="Sch1 Cont 5"/>
    <w:basedOn w:val="Sch1Cont4"/>
    <w:link w:val="Sch1Cont5Char"/>
    <w:rsid w:val="007D20BB"/>
  </w:style>
  <w:style w:type="character" w:customStyle="1" w:styleId="Sch1Cont5Char">
    <w:name w:val="Sch1 Cont 5 Char"/>
    <w:link w:val="Sch1Cont5"/>
    <w:rsid w:val="007D20BB"/>
    <w:rPr>
      <w:rFonts w:ascii="Times New Roman" w:eastAsia="SimSun" w:hAnsi="Times New Roman" w:cs="Times New Roman"/>
      <w:sz w:val="24"/>
      <w:lang w:val="en-GB"/>
    </w:rPr>
  </w:style>
  <w:style w:type="paragraph" w:customStyle="1" w:styleId="Sch1Cont6">
    <w:name w:val="Sch1 Cont 6"/>
    <w:basedOn w:val="Sch1Cont5"/>
    <w:link w:val="Sch1Cont6Char"/>
    <w:rsid w:val="007D20BB"/>
    <w:pPr>
      <w:ind w:left="1440"/>
    </w:pPr>
  </w:style>
  <w:style w:type="character" w:customStyle="1" w:styleId="Sch1Cont6Char">
    <w:name w:val="Sch1 Cont 6 Char"/>
    <w:link w:val="Sch1Cont6"/>
    <w:rsid w:val="007D20BB"/>
    <w:rPr>
      <w:rFonts w:ascii="Times New Roman" w:eastAsia="SimSun" w:hAnsi="Times New Roman" w:cs="Times New Roman"/>
      <w:sz w:val="24"/>
      <w:lang w:val="en-GB"/>
    </w:rPr>
  </w:style>
  <w:style w:type="paragraph" w:customStyle="1" w:styleId="Sch1Cont7">
    <w:name w:val="Sch1 Cont 7"/>
    <w:basedOn w:val="Sch1Cont6"/>
    <w:link w:val="Sch1Cont7Char"/>
    <w:rsid w:val="007D20BB"/>
    <w:pPr>
      <w:ind w:left="2160"/>
    </w:pPr>
  </w:style>
  <w:style w:type="character" w:customStyle="1" w:styleId="Sch1Cont7Char">
    <w:name w:val="Sch1 Cont 7 Char"/>
    <w:link w:val="Sch1Cont7"/>
    <w:rsid w:val="007D20BB"/>
    <w:rPr>
      <w:rFonts w:ascii="Times New Roman" w:eastAsia="SimSun" w:hAnsi="Times New Roman" w:cs="Times New Roman"/>
      <w:sz w:val="24"/>
      <w:lang w:val="en-GB"/>
    </w:rPr>
  </w:style>
  <w:style w:type="paragraph" w:customStyle="1" w:styleId="Sch1Cont8">
    <w:name w:val="Sch1 Cont 8"/>
    <w:basedOn w:val="Sch1Cont7"/>
    <w:link w:val="Sch1Cont8Char"/>
    <w:rsid w:val="007D20BB"/>
    <w:pPr>
      <w:ind w:left="2880"/>
    </w:pPr>
  </w:style>
  <w:style w:type="character" w:customStyle="1" w:styleId="Sch1Cont8Char">
    <w:name w:val="Sch1 Cont 8 Char"/>
    <w:link w:val="Sch1Cont8"/>
    <w:rsid w:val="007D20BB"/>
    <w:rPr>
      <w:rFonts w:ascii="Times New Roman" w:eastAsia="SimSun" w:hAnsi="Times New Roman" w:cs="Times New Roman"/>
      <w:sz w:val="24"/>
      <w:lang w:val="en-GB"/>
    </w:rPr>
  </w:style>
  <w:style w:type="paragraph" w:customStyle="1" w:styleId="Sch1Cont9">
    <w:name w:val="Sch1 Cont 9"/>
    <w:basedOn w:val="Sch1Cont8"/>
    <w:link w:val="Sch1Cont9Char"/>
    <w:rsid w:val="007D20BB"/>
    <w:pPr>
      <w:ind w:left="3594" w:firstLine="6"/>
    </w:pPr>
  </w:style>
  <w:style w:type="character" w:customStyle="1" w:styleId="Sch1Cont9Char">
    <w:name w:val="Sch1 Cont 9 Char"/>
    <w:link w:val="Sch1Cont9"/>
    <w:rsid w:val="007D20BB"/>
    <w:rPr>
      <w:rFonts w:ascii="Times New Roman" w:eastAsia="SimSun" w:hAnsi="Times New Roman" w:cs="Times New Roman"/>
      <w:sz w:val="24"/>
      <w:lang w:val="en-GB"/>
    </w:rPr>
  </w:style>
  <w:style w:type="paragraph" w:customStyle="1" w:styleId="Sch1L1">
    <w:name w:val="Sch1_L1"/>
    <w:basedOn w:val="Normal"/>
    <w:next w:val="Sch1L2"/>
    <w:link w:val="Sch1L1Char"/>
    <w:rsid w:val="007D20BB"/>
    <w:pPr>
      <w:keepNext/>
      <w:spacing w:after="240" w:line="280" w:lineRule="exact"/>
      <w:jc w:val="both"/>
      <w:outlineLvl w:val="0"/>
    </w:pPr>
    <w:rPr>
      <w:rFonts w:eastAsia="SimSun" w:cs="Times New Roman"/>
      <w:b/>
    </w:rPr>
  </w:style>
  <w:style w:type="character" w:customStyle="1" w:styleId="Sch1L1Char">
    <w:name w:val="Sch1_L1 Char"/>
    <w:link w:val="Sch1L1"/>
    <w:rsid w:val="007D20BB"/>
    <w:rPr>
      <w:rFonts w:ascii="Times New Roman" w:eastAsia="SimSun" w:hAnsi="Times New Roman" w:cs="Times New Roman"/>
      <w:b/>
      <w:sz w:val="22"/>
      <w:lang w:val="en-GB"/>
    </w:rPr>
  </w:style>
  <w:style w:type="paragraph" w:customStyle="1" w:styleId="Sch1L2">
    <w:name w:val="Sch1_L2"/>
    <w:basedOn w:val="Sch1L1"/>
    <w:next w:val="Sch1L3"/>
    <w:link w:val="Sch1L2Char"/>
    <w:rsid w:val="007D20BB"/>
    <w:pPr>
      <w:spacing w:before="240" w:after="180"/>
      <w:outlineLvl w:val="1"/>
    </w:pPr>
  </w:style>
  <w:style w:type="character" w:customStyle="1" w:styleId="Sch1L2Char">
    <w:name w:val="Sch1_L2 Char"/>
    <w:link w:val="Sch1L2"/>
    <w:rsid w:val="007D20BB"/>
    <w:rPr>
      <w:rFonts w:ascii="Times New Roman" w:eastAsia="SimSun" w:hAnsi="Times New Roman" w:cs="Times New Roman"/>
      <w:b/>
      <w:sz w:val="22"/>
      <w:lang w:val="en-GB"/>
    </w:rPr>
  </w:style>
  <w:style w:type="paragraph" w:customStyle="1" w:styleId="Sch1L3">
    <w:name w:val="Sch1_L3"/>
    <w:basedOn w:val="Sch1L2"/>
    <w:next w:val="Sch1L5"/>
    <w:link w:val="Sch1L3Char"/>
    <w:rsid w:val="007D20BB"/>
    <w:pPr>
      <w:numPr>
        <w:ilvl w:val="2"/>
      </w:numPr>
      <w:outlineLvl w:val="2"/>
    </w:pPr>
  </w:style>
  <w:style w:type="character" w:customStyle="1" w:styleId="Sch1L3Char">
    <w:name w:val="Sch1_L3 Char"/>
    <w:link w:val="Sch1L3"/>
    <w:rsid w:val="007D20BB"/>
    <w:rPr>
      <w:rFonts w:ascii="Times New Roman" w:eastAsia="SimSun" w:hAnsi="Times New Roman" w:cs="Times New Roman"/>
      <w:b/>
      <w:sz w:val="22"/>
      <w:lang w:val="en-GB"/>
    </w:rPr>
  </w:style>
  <w:style w:type="paragraph" w:customStyle="1" w:styleId="Sch1L4">
    <w:name w:val="Sch1_L4"/>
    <w:basedOn w:val="Sch1L3"/>
    <w:next w:val="Sch1L6"/>
    <w:link w:val="Sch1L4Char"/>
    <w:rsid w:val="007D20BB"/>
    <w:pPr>
      <w:keepNext w:val="0"/>
      <w:numPr>
        <w:ilvl w:val="3"/>
      </w:numPr>
      <w:spacing w:before="0"/>
      <w:outlineLvl w:val="3"/>
    </w:pPr>
    <w:rPr>
      <w:b w:val="0"/>
      <w:u w:val="single"/>
    </w:rPr>
  </w:style>
  <w:style w:type="character" w:customStyle="1" w:styleId="Sch1L4Char">
    <w:name w:val="Sch1_L4 Char"/>
    <w:basedOn w:val="DefaultParagraphFont"/>
    <w:link w:val="Sch1L4"/>
    <w:rsid w:val="007D20BB"/>
    <w:rPr>
      <w:rFonts w:ascii="Times New Roman" w:eastAsia="SimSun" w:hAnsi="Times New Roman" w:cs="Times New Roman"/>
      <w:sz w:val="22"/>
      <w:u w:val="single"/>
      <w:lang w:val="en-GB"/>
    </w:rPr>
  </w:style>
  <w:style w:type="paragraph" w:customStyle="1" w:styleId="Sch1L5">
    <w:name w:val="Sch1_L5"/>
    <w:basedOn w:val="Sch1L4"/>
    <w:link w:val="Sch1L5Char"/>
    <w:rsid w:val="007D20BB"/>
    <w:pPr>
      <w:numPr>
        <w:ilvl w:val="4"/>
      </w:numPr>
      <w:outlineLvl w:val="4"/>
    </w:pPr>
    <w:rPr>
      <w:b/>
      <w:bCs/>
      <w:i/>
      <w:iCs/>
      <w:u w:val="none"/>
    </w:rPr>
  </w:style>
  <w:style w:type="character" w:customStyle="1" w:styleId="Sch1L5Char">
    <w:name w:val="Sch1_L5 Char"/>
    <w:link w:val="Sch1L5"/>
    <w:rsid w:val="007D20BB"/>
    <w:rPr>
      <w:rFonts w:ascii="Times New Roman" w:eastAsia="SimSun" w:hAnsi="Times New Roman" w:cs="Times New Roman"/>
      <w:b/>
      <w:bCs/>
      <w:i/>
      <w:iCs/>
      <w:sz w:val="22"/>
      <w:lang w:val="en-GB"/>
    </w:rPr>
  </w:style>
  <w:style w:type="paragraph" w:customStyle="1" w:styleId="Sch1L6">
    <w:name w:val="Sch1_L6"/>
    <w:basedOn w:val="Sch1L5"/>
    <w:link w:val="Sch1L6Char"/>
    <w:rsid w:val="007D20BB"/>
    <w:pPr>
      <w:numPr>
        <w:ilvl w:val="5"/>
      </w:numPr>
      <w:outlineLvl w:val="5"/>
    </w:pPr>
  </w:style>
  <w:style w:type="character" w:customStyle="1" w:styleId="Sch1L6Char">
    <w:name w:val="Sch1_L6 Char"/>
    <w:link w:val="Sch1L6"/>
    <w:rsid w:val="007D20BB"/>
    <w:rPr>
      <w:rFonts w:ascii="Times New Roman" w:eastAsia="SimSun" w:hAnsi="Times New Roman" w:cs="Times New Roman"/>
      <w:b/>
      <w:bCs/>
      <w:i/>
      <w:iCs/>
      <w:sz w:val="22"/>
      <w:lang w:val="en-GB"/>
    </w:rPr>
  </w:style>
  <w:style w:type="paragraph" w:customStyle="1" w:styleId="Sch1L7">
    <w:name w:val="Sch1_L7"/>
    <w:basedOn w:val="Sch1L6"/>
    <w:link w:val="Sch1L7Char"/>
    <w:rsid w:val="007D20BB"/>
    <w:pPr>
      <w:numPr>
        <w:ilvl w:val="6"/>
      </w:numPr>
      <w:outlineLvl w:val="6"/>
    </w:pPr>
    <w:rPr>
      <w:b w:val="0"/>
      <w:bCs w:val="0"/>
      <w:i w:val="0"/>
      <w:iCs w:val="0"/>
    </w:rPr>
  </w:style>
  <w:style w:type="character" w:customStyle="1" w:styleId="Sch1L7Char">
    <w:name w:val="Sch1_L7 Char"/>
    <w:link w:val="Sch1L7"/>
    <w:rsid w:val="007D20BB"/>
    <w:rPr>
      <w:rFonts w:ascii="Times New Roman" w:eastAsia="SimSun" w:hAnsi="Times New Roman" w:cs="Times New Roman"/>
      <w:sz w:val="22"/>
      <w:lang w:val="en-GB"/>
    </w:rPr>
  </w:style>
  <w:style w:type="paragraph" w:customStyle="1" w:styleId="Sch1L8">
    <w:name w:val="Sch1_L8"/>
    <w:basedOn w:val="Sch1L7"/>
    <w:link w:val="Sch1L8Char"/>
    <w:rsid w:val="00C363E8"/>
    <w:pPr>
      <w:numPr>
        <w:ilvl w:val="7"/>
      </w:numPr>
      <w:outlineLvl w:val="7"/>
    </w:pPr>
    <w:rPr>
      <w:b/>
      <w:bCs/>
      <w:i/>
      <w:iCs/>
    </w:rPr>
  </w:style>
  <w:style w:type="character" w:customStyle="1" w:styleId="Sch1L8Char">
    <w:name w:val="Sch1_L8 Char"/>
    <w:link w:val="Sch1L8"/>
    <w:rsid w:val="00C363E8"/>
    <w:rPr>
      <w:rFonts w:ascii="Times New Roman" w:eastAsia="SimSun" w:hAnsi="Times New Roman" w:cs="Times New Roman"/>
      <w:b/>
      <w:bCs/>
      <w:i/>
      <w:iCs/>
      <w:sz w:val="22"/>
      <w:lang w:val="en-GB"/>
    </w:rPr>
  </w:style>
  <w:style w:type="paragraph" w:customStyle="1" w:styleId="Sch1L9">
    <w:name w:val="Sch1_L9"/>
    <w:basedOn w:val="Sch1L8"/>
    <w:link w:val="Sch1L9Char"/>
    <w:rsid w:val="007D20BB"/>
    <w:pPr>
      <w:numPr>
        <w:ilvl w:val="8"/>
      </w:numPr>
      <w:outlineLvl w:val="8"/>
    </w:pPr>
  </w:style>
  <w:style w:type="character" w:customStyle="1" w:styleId="Sch1L9Char">
    <w:name w:val="Sch1_L9 Char"/>
    <w:link w:val="Sch1L9"/>
    <w:rsid w:val="007D20BB"/>
    <w:rPr>
      <w:rFonts w:ascii="Times New Roman" w:eastAsia="SimSun" w:hAnsi="Times New Roman" w:cs="Times New Roman"/>
      <w:b/>
      <w:bCs/>
      <w:i/>
      <w:iCs/>
      <w:sz w:val="22"/>
      <w:lang w:val="en-GB"/>
    </w:rPr>
  </w:style>
  <w:style w:type="paragraph" w:customStyle="1" w:styleId="BulletsCont1">
    <w:name w:val="Bullets Cont 1"/>
    <w:basedOn w:val="Normal"/>
    <w:link w:val="BulletsCont1Char"/>
    <w:rsid w:val="00C363E8"/>
    <w:pPr>
      <w:spacing w:after="180" w:line="280" w:lineRule="atLeast"/>
      <w:ind w:left="720"/>
      <w:jc w:val="both"/>
    </w:pPr>
    <w:rPr>
      <w:rFonts w:eastAsia="Calibri" w:cs="Times New Roman"/>
      <w:szCs w:val="22"/>
    </w:rPr>
  </w:style>
  <w:style w:type="character" w:customStyle="1" w:styleId="BulletsCont1Char">
    <w:name w:val="Bullets Cont 1 Char"/>
    <w:link w:val="BulletsCont1"/>
    <w:rsid w:val="00C363E8"/>
    <w:rPr>
      <w:rFonts w:ascii="Times New Roman" w:eastAsia="Calibri" w:hAnsi="Times New Roman" w:cs="Times New Roman"/>
      <w:sz w:val="22"/>
      <w:szCs w:val="22"/>
      <w:lang w:val="en-GB"/>
    </w:rPr>
  </w:style>
  <w:style w:type="paragraph" w:customStyle="1" w:styleId="BulletsCont2">
    <w:name w:val="Bullets Cont 2"/>
    <w:basedOn w:val="BulletsCont1"/>
    <w:link w:val="BulletsCont2Char"/>
    <w:rsid w:val="00C363E8"/>
    <w:pPr>
      <w:ind w:left="1440"/>
    </w:pPr>
  </w:style>
  <w:style w:type="character" w:customStyle="1" w:styleId="BulletsCont2Char">
    <w:name w:val="Bullets Cont 2 Char"/>
    <w:link w:val="BulletsCont2"/>
    <w:rsid w:val="00C363E8"/>
    <w:rPr>
      <w:rFonts w:ascii="Times New Roman" w:eastAsia="Calibri" w:hAnsi="Times New Roman" w:cs="Times New Roman"/>
      <w:sz w:val="22"/>
      <w:szCs w:val="22"/>
      <w:lang w:val="en-GB"/>
    </w:rPr>
  </w:style>
  <w:style w:type="paragraph" w:customStyle="1" w:styleId="BulletsCont3">
    <w:name w:val="Bullets Cont 3"/>
    <w:basedOn w:val="BulletsCont2"/>
    <w:link w:val="BulletsCont3Char"/>
    <w:rsid w:val="00C363E8"/>
    <w:pPr>
      <w:ind w:left="2160"/>
    </w:pPr>
  </w:style>
  <w:style w:type="character" w:customStyle="1" w:styleId="BulletsCont3Char">
    <w:name w:val="Bullets Cont 3 Char"/>
    <w:link w:val="BulletsCont3"/>
    <w:rsid w:val="00C363E8"/>
    <w:rPr>
      <w:rFonts w:ascii="Times New Roman" w:eastAsia="Calibri" w:hAnsi="Times New Roman" w:cs="Times New Roman"/>
      <w:sz w:val="22"/>
      <w:szCs w:val="22"/>
      <w:lang w:val="en-GB"/>
    </w:rPr>
  </w:style>
  <w:style w:type="paragraph" w:customStyle="1" w:styleId="BulletsCont4">
    <w:name w:val="Bullets Cont 4"/>
    <w:basedOn w:val="BulletsCont3"/>
    <w:link w:val="BulletsCont4Char"/>
    <w:rsid w:val="00C363E8"/>
    <w:pPr>
      <w:ind w:left="2880"/>
    </w:pPr>
  </w:style>
  <w:style w:type="character" w:customStyle="1" w:styleId="BulletsCont4Char">
    <w:name w:val="Bullets Cont 4 Char"/>
    <w:link w:val="BulletsCont4"/>
    <w:rsid w:val="00C363E8"/>
    <w:rPr>
      <w:rFonts w:ascii="Times New Roman" w:eastAsia="Calibri" w:hAnsi="Times New Roman" w:cs="Times New Roman"/>
      <w:sz w:val="22"/>
      <w:szCs w:val="22"/>
      <w:lang w:val="en-GB"/>
    </w:rPr>
  </w:style>
  <w:style w:type="paragraph" w:customStyle="1" w:styleId="BulletsCont5">
    <w:name w:val="Bullets Cont 5"/>
    <w:basedOn w:val="BulletsCont4"/>
    <w:link w:val="BulletsCont5Char"/>
    <w:rsid w:val="00C363E8"/>
    <w:pPr>
      <w:ind w:left="3600"/>
    </w:pPr>
  </w:style>
  <w:style w:type="character" w:customStyle="1" w:styleId="BulletsCont5Char">
    <w:name w:val="Bullets Cont 5 Char"/>
    <w:link w:val="BulletsCont5"/>
    <w:rsid w:val="00C363E8"/>
    <w:rPr>
      <w:rFonts w:ascii="Times New Roman" w:eastAsia="Calibri" w:hAnsi="Times New Roman" w:cs="Times New Roman"/>
      <w:sz w:val="22"/>
      <w:szCs w:val="22"/>
      <w:lang w:val="en-GB"/>
    </w:rPr>
  </w:style>
  <w:style w:type="paragraph" w:customStyle="1" w:styleId="BulletsCont6">
    <w:name w:val="Bullets Cont 6"/>
    <w:basedOn w:val="BulletsCont5"/>
    <w:link w:val="BulletsCont6Char"/>
    <w:rsid w:val="00C363E8"/>
    <w:pPr>
      <w:ind w:left="4320"/>
    </w:pPr>
  </w:style>
  <w:style w:type="character" w:customStyle="1" w:styleId="BulletsCont6Char">
    <w:name w:val="Bullets Cont 6 Char"/>
    <w:link w:val="BulletsCont6"/>
    <w:rsid w:val="00C363E8"/>
    <w:rPr>
      <w:rFonts w:ascii="Times New Roman" w:eastAsia="Calibri" w:hAnsi="Times New Roman" w:cs="Times New Roman"/>
      <w:sz w:val="22"/>
      <w:szCs w:val="22"/>
      <w:lang w:val="en-GB"/>
    </w:rPr>
  </w:style>
  <w:style w:type="paragraph" w:customStyle="1" w:styleId="BulletsCont7">
    <w:name w:val="Bullets Cont 7"/>
    <w:basedOn w:val="BulletsCont6"/>
    <w:link w:val="BulletsCont7Char"/>
    <w:rsid w:val="00C363E8"/>
    <w:pPr>
      <w:ind w:left="5040"/>
    </w:pPr>
  </w:style>
  <w:style w:type="character" w:customStyle="1" w:styleId="BulletsCont7Char">
    <w:name w:val="Bullets Cont 7 Char"/>
    <w:link w:val="BulletsCont7"/>
    <w:rsid w:val="00C363E8"/>
    <w:rPr>
      <w:rFonts w:ascii="Times New Roman" w:eastAsia="Calibri" w:hAnsi="Times New Roman" w:cs="Times New Roman"/>
      <w:sz w:val="22"/>
      <w:szCs w:val="22"/>
      <w:lang w:val="en-GB"/>
    </w:rPr>
  </w:style>
  <w:style w:type="paragraph" w:customStyle="1" w:styleId="BulletsCont8">
    <w:name w:val="Bullets Cont 8"/>
    <w:basedOn w:val="BulletsCont7"/>
    <w:link w:val="BulletsCont8Char"/>
    <w:rsid w:val="00C363E8"/>
    <w:pPr>
      <w:ind w:left="5760"/>
    </w:pPr>
  </w:style>
  <w:style w:type="character" w:customStyle="1" w:styleId="BulletsCont8Char">
    <w:name w:val="Bullets Cont 8 Char"/>
    <w:link w:val="BulletsCont8"/>
    <w:rsid w:val="00C363E8"/>
    <w:rPr>
      <w:rFonts w:ascii="Times New Roman" w:eastAsia="Calibri" w:hAnsi="Times New Roman" w:cs="Times New Roman"/>
      <w:sz w:val="22"/>
      <w:szCs w:val="22"/>
      <w:lang w:val="en-GB"/>
    </w:rPr>
  </w:style>
  <w:style w:type="paragraph" w:customStyle="1" w:styleId="BulletsCont9">
    <w:name w:val="Bullets Cont 9"/>
    <w:basedOn w:val="Normal"/>
    <w:link w:val="BulletsCont9Char"/>
    <w:rsid w:val="00C363E8"/>
    <w:pPr>
      <w:spacing w:after="180" w:line="280" w:lineRule="atLeast"/>
      <w:ind w:left="6480"/>
      <w:jc w:val="both"/>
    </w:pPr>
    <w:rPr>
      <w:rFonts w:eastAsia="Times New Roman" w:cs="Times New Roman"/>
    </w:rPr>
  </w:style>
  <w:style w:type="character" w:customStyle="1" w:styleId="BulletsCont9Char">
    <w:name w:val="Bullets Cont 9 Char"/>
    <w:link w:val="BulletsCont9"/>
    <w:rsid w:val="00C363E8"/>
    <w:rPr>
      <w:rFonts w:ascii="Times New Roman" w:eastAsia="Times New Roman" w:hAnsi="Times New Roman" w:cs="Times New Roman"/>
      <w:sz w:val="22"/>
      <w:lang w:val="en-GB"/>
    </w:rPr>
  </w:style>
  <w:style w:type="paragraph" w:customStyle="1" w:styleId="BulletsL1">
    <w:name w:val="Bullets_L1"/>
    <w:basedOn w:val="Normal"/>
    <w:link w:val="BulletsL1Char"/>
    <w:autoRedefine/>
    <w:rsid w:val="00C363E8"/>
    <w:pPr>
      <w:numPr>
        <w:numId w:val="6"/>
      </w:numPr>
      <w:spacing w:after="180" w:line="280" w:lineRule="atLeast"/>
      <w:jc w:val="both"/>
    </w:pPr>
    <w:rPr>
      <w:rFonts w:eastAsia="Times New Roman" w:cs="Times New Roman"/>
      <w:szCs w:val="24"/>
    </w:rPr>
  </w:style>
  <w:style w:type="character" w:customStyle="1" w:styleId="BulletsL1Char">
    <w:name w:val="Bullets_L1 Char"/>
    <w:link w:val="BulletsL1"/>
    <w:rsid w:val="00C363E8"/>
    <w:rPr>
      <w:rFonts w:ascii="Times New Roman" w:eastAsia="Times New Roman" w:hAnsi="Times New Roman" w:cs="Times New Roman"/>
      <w:sz w:val="22"/>
      <w:szCs w:val="24"/>
      <w:lang w:val="en-GB"/>
    </w:rPr>
  </w:style>
  <w:style w:type="paragraph" w:customStyle="1" w:styleId="BulletsL2">
    <w:name w:val="Bullets_L2"/>
    <w:basedOn w:val="BulletsL1"/>
    <w:link w:val="BulletsL2Char"/>
    <w:autoRedefine/>
    <w:rsid w:val="00C363E8"/>
    <w:pPr>
      <w:numPr>
        <w:ilvl w:val="1"/>
      </w:numPr>
    </w:pPr>
  </w:style>
  <w:style w:type="character" w:customStyle="1" w:styleId="BulletsL2Char">
    <w:name w:val="Bullets_L2 Char"/>
    <w:link w:val="BulletsL2"/>
    <w:rsid w:val="00C363E8"/>
    <w:rPr>
      <w:rFonts w:ascii="Times New Roman" w:eastAsia="Times New Roman" w:hAnsi="Times New Roman" w:cs="Times New Roman"/>
      <w:sz w:val="22"/>
      <w:szCs w:val="24"/>
      <w:lang w:val="en-GB"/>
    </w:rPr>
  </w:style>
  <w:style w:type="paragraph" w:customStyle="1" w:styleId="BulletsL3">
    <w:name w:val="Bullets_L3"/>
    <w:basedOn w:val="BulletsL2"/>
    <w:link w:val="BulletsL3Char"/>
    <w:rsid w:val="00C363E8"/>
    <w:pPr>
      <w:numPr>
        <w:ilvl w:val="2"/>
      </w:numPr>
    </w:pPr>
  </w:style>
  <w:style w:type="character" w:customStyle="1" w:styleId="BulletsL3Char">
    <w:name w:val="Bullets_L3 Char"/>
    <w:link w:val="BulletsL3"/>
    <w:rsid w:val="00C363E8"/>
    <w:rPr>
      <w:rFonts w:ascii="Times New Roman" w:eastAsia="Times New Roman" w:hAnsi="Times New Roman" w:cs="Times New Roman"/>
      <w:sz w:val="22"/>
      <w:szCs w:val="24"/>
      <w:lang w:val="en-GB"/>
    </w:rPr>
  </w:style>
  <w:style w:type="paragraph" w:customStyle="1" w:styleId="BulletsL4">
    <w:name w:val="Bullets_L4"/>
    <w:basedOn w:val="BulletsL3"/>
    <w:link w:val="BulletsL4Char"/>
    <w:rsid w:val="00C363E8"/>
    <w:pPr>
      <w:numPr>
        <w:ilvl w:val="3"/>
      </w:numPr>
      <w:outlineLvl w:val="3"/>
    </w:pPr>
  </w:style>
  <w:style w:type="character" w:customStyle="1" w:styleId="BulletsL4Char">
    <w:name w:val="Bullets_L4 Char"/>
    <w:link w:val="BulletsL4"/>
    <w:rsid w:val="00C363E8"/>
    <w:rPr>
      <w:rFonts w:ascii="Times New Roman" w:eastAsia="Times New Roman" w:hAnsi="Times New Roman" w:cs="Times New Roman"/>
      <w:sz w:val="22"/>
      <w:szCs w:val="24"/>
      <w:lang w:val="en-GB"/>
    </w:rPr>
  </w:style>
  <w:style w:type="paragraph" w:customStyle="1" w:styleId="BulletsL5">
    <w:name w:val="Bullets_L5"/>
    <w:basedOn w:val="BulletsL4"/>
    <w:link w:val="BulletsL5Char"/>
    <w:rsid w:val="00C363E8"/>
    <w:pPr>
      <w:numPr>
        <w:ilvl w:val="4"/>
      </w:numPr>
      <w:outlineLvl w:val="4"/>
    </w:pPr>
  </w:style>
  <w:style w:type="character" w:customStyle="1" w:styleId="BulletsL5Char">
    <w:name w:val="Bullets_L5 Char"/>
    <w:link w:val="BulletsL5"/>
    <w:rsid w:val="00C363E8"/>
    <w:rPr>
      <w:rFonts w:ascii="Times New Roman" w:eastAsia="Times New Roman" w:hAnsi="Times New Roman" w:cs="Times New Roman"/>
      <w:sz w:val="22"/>
      <w:szCs w:val="24"/>
      <w:lang w:val="en-GB"/>
    </w:rPr>
  </w:style>
  <w:style w:type="paragraph" w:customStyle="1" w:styleId="BulletsL6">
    <w:name w:val="Bullets_L6"/>
    <w:basedOn w:val="BulletsL5"/>
    <w:link w:val="BulletsL6Char"/>
    <w:rsid w:val="00C363E8"/>
    <w:pPr>
      <w:numPr>
        <w:ilvl w:val="5"/>
      </w:numPr>
      <w:outlineLvl w:val="5"/>
    </w:pPr>
  </w:style>
  <w:style w:type="character" w:customStyle="1" w:styleId="BulletsL6Char">
    <w:name w:val="Bullets_L6 Char"/>
    <w:link w:val="BulletsL6"/>
    <w:rsid w:val="00C363E8"/>
    <w:rPr>
      <w:rFonts w:ascii="Times New Roman" w:eastAsia="Times New Roman" w:hAnsi="Times New Roman" w:cs="Times New Roman"/>
      <w:sz w:val="22"/>
      <w:szCs w:val="24"/>
      <w:lang w:val="en-GB"/>
    </w:rPr>
  </w:style>
  <w:style w:type="paragraph" w:customStyle="1" w:styleId="BulletsL7">
    <w:name w:val="Bullets_L7"/>
    <w:basedOn w:val="BulletsL6"/>
    <w:link w:val="BulletsL7Char"/>
    <w:rsid w:val="00C363E8"/>
    <w:pPr>
      <w:numPr>
        <w:ilvl w:val="6"/>
      </w:numPr>
      <w:outlineLvl w:val="6"/>
    </w:pPr>
  </w:style>
  <w:style w:type="character" w:customStyle="1" w:styleId="BulletsL7Char">
    <w:name w:val="Bullets_L7 Char"/>
    <w:link w:val="BulletsL7"/>
    <w:rsid w:val="00C363E8"/>
    <w:rPr>
      <w:rFonts w:ascii="Times New Roman" w:eastAsia="Times New Roman" w:hAnsi="Times New Roman" w:cs="Times New Roman"/>
      <w:sz w:val="22"/>
      <w:szCs w:val="24"/>
      <w:lang w:val="en-GB"/>
    </w:rPr>
  </w:style>
  <w:style w:type="paragraph" w:customStyle="1" w:styleId="BulletsL8">
    <w:name w:val="Bullets_L8"/>
    <w:basedOn w:val="BulletsL7"/>
    <w:link w:val="BulletsL8Char"/>
    <w:rsid w:val="00C363E8"/>
    <w:pPr>
      <w:numPr>
        <w:ilvl w:val="7"/>
      </w:numPr>
      <w:outlineLvl w:val="7"/>
    </w:pPr>
  </w:style>
  <w:style w:type="character" w:customStyle="1" w:styleId="BulletsL8Char">
    <w:name w:val="Bullets_L8 Char"/>
    <w:link w:val="BulletsL8"/>
    <w:rsid w:val="00C363E8"/>
    <w:rPr>
      <w:rFonts w:ascii="Times New Roman" w:eastAsia="Times New Roman" w:hAnsi="Times New Roman" w:cs="Times New Roman"/>
      <w:sz w:val="22"/>
      <w:szCs w:val="24"/>
      <w:lang w:val="en-GB"/>
    </w:rPr>
  </w:style>
  <w:style w:type="paragraph" w:customStyle="1" w:styleId="BulletsL9">
    <w:name w:val="Bullets_L9"/>
    <w:basedOn w:val="BulletsL8"/>
    <w:link w:val="BulletsL9Char"/>
    <w:rsid w:val="00C363E8"/>
    <w:pPr>
      <w:numPr>
        <w:ilvl w:val="8"/>
      </w:numPr>
      <w:outlineLvl w:val="8"/>
    </w:pPr>
  </w:style>
  <w:style w:type="character" w:customStyle="1" w:styleId="BulletsL9Char">
    <w:name w:val="Bullets_L9 Char"/>
    <w:link w:val="BulletsL9"/>
    <w:rsid w:val="00C363E8"/>
    <w:rPr>
      <w:rFonts w:ascii="Times New Roman" w:eastAsia="Times New Roman" w:hAnsi="Times New Roman" w:cs="Times New Roman"/>
      <w:sz w:val="22"/>
      <w:szCs w:val="24"/>
      <w:lang w:val="en-GB"/>
    </w:rPr>
  </w:style>
  <w:style w:type="paragraph" w:customStyle="1" w:styleId="Firm1Cont1">
    <w:name w:val="Firm1 Cont 1"/>
    <w:basedOn w:val="Normal"/>
    <w:link w:val="Firm1Cont1Char"/>
    <w:rsid w:val="008C41EB"/>
    <w:pPr>
      <w:spacing w:after="180" w:line="280" w:lineRule="atLeast"/>
      <w:ind w:left="720"/>
      <w:jc w:val="both"/>
    </w:pPr>
    <w:rPr>
      <w:rFonts w:eastAsia="SimSun" w:cs="Times New Roman"/>
    </w:rPr>
  </w:style>
  <w:style w:type="character" w:customStyle="1" w:styleId="Firm1Cont1Char">
    <w:name w:val="Firm1 Cont 1 Char"/>
    <w:link w:val="Firm1Cont1"/>
    <w:rsid w:val="008C41EB"/>
    <w:rPr>
      <w:rFonts w:ascii="Times New Roman" w:eastAsia="SimSun" w:hAnsi="Times New Roman" w:cs="Times New Roman"/>
      <w:sz w:val="22"/>
      <w:lang w:val="en-GB"/>
    </w:rPr>
  </w:style>
  <w:style w:type="paragraph" w:customStyle="1" w:styleId="Firm1Cont2">
    <w:name w:val="Firm1 Cont 2"/>
    <w:basedOn w:val="Firm1Cont1"/>
    <w:link w:val="Firm1Cont2Char"/>
    <w:rsid w:val="008C41EB"/>
    <w:pPr>
      <w:spacing w:line="280" w:lineRule="exact"/>
      <w:ind w:left="1440"/>
    </w:pPr>
  </w:style>
  <w:style w:type="character" w:customStyle="1" w:styleId="Firm1Cont2Char">
    <w:name w:val="Firm1 Cont 2 Char"/>
    <w:link w:val="Firm1Cont2"/>
    <w:rsid w:val="008C41EB"/>
    <w:rPr>
      <w:rFonts w:ascii="Times New Roman" w:eastAsia="SimSun" w:hAnsi="Times New Roman" w:cs="Times New Roman"/>
      <w:sz w:val="22"/>
      <w:lang w:val="en-GB"/>
    </w:rPr>
  </w:style>
  <w:style w:type="paragraph" w:customStyle="1" w:styleId="Firm1Cont3">
    <w:name w:val="Firm1 Cont 3"/>
    <w:basedOn w:val="Firm1Cont2"/>
    <w:link w:val="Firm1Cont3Char"/>
    <w:rsid w:val="008C41EB"/>
    <w:pPr>
      <w:spacing w:line="280" w:lineRule="atLeast"/>
      <w:ind w:left="2160"/>
    </w:pPr>
  </w:style>
  <w:style w:type="character" w:customStyle="1" w:styleId="Firm1Cont3Char">
    <w:name w:val="Firm1 Cont 3 Char"/>
    <w:link w:val="Firm1Cont3"/>
    <w:rsid w:val="008C41EB"/>
    <w:rPr>
      <w:rFonts w:ascii="Times New Roman" w:eastAsia="SimSun" w:hAnsi="Times New Roman" w:cs="Times New Roman"/>
      <w:sz w:val="22"/>
      <w:lang w:val="en-GB"/>
    </w:rPr>
  </w:style>
  <w:style w:type="paragraph" w:customStyle="1" w:styleId="Firm1Cont4">
    <w:name w:val="Firm1 Cont 4"/>
    <w:basedOn w:val="Firm1Cont3"/>
    <w:link w:val="Firm1Cont4Char"/>
    <w:rsid w:val="008C41EB"/>
    <w:pPr>
      <w:ind w:left="2880"/>
    </w:pPr>
  </w:style>
  <w:style w:type="character" w:customStyle="1" w:styleId="Firm1Cont4Char">
    <w:name w:val="Firm1 Cont 4 Char"/>
    <w:link w:val="Firm1Cont4"/>
    <w:rsid w:val="008C41EB"/>
    <w:rPr>
      <w:rFonts w:ascii="Times New Roman" w:eastAsia="SimSun" w:hAnsi="Times New Roman" w:cs="Times New Roman"/>
      <w:sz w:val="22"/>
      <w:lang w:val="en-GB"/>
    </w:rPr>
  </w:style>
  <w:style w:type="paragraph" w:customStyle="1" w:styleId="Firm1Cont5">
    <w:name w:val="Firm1 Cont 5"/>
    <w:basedOn w:val="Normal"/>
    <w:link w:val="Firm1Cont5Char"/>
    <w:rsid w:val="008C41EB"/>
    <w:pPr>
      <w:spacing w:after="180" w:line="280" w:lineRule="atLeast"/>
      <w:ind w:left="3600"/>
      <w:jc w:val="both"/>
    </w:pPr>
    <w:rPr>
      <w:rFonts w:eastAsia="SimSun" w:cs="Times New Roman"/>
    </w:rPr>
  </w:style>
  <w:style w:type="character" w:customStyle="1" w:styleId="Firm1Cont5Char">
    <w:name w:val="Firm1 Cont 5 Char"/>
    <w:link w:val="Firm1Cont5"/>
    <w:rsid w:val="008C41EB"/>
    <w:rPr>
      <w:rFonts w:ascii="Times New Roman" w:eastAsia="SimSun" w:hAnsi="Times New Roman" w:cs="Times New Roman"/>
      <w:sz w:val="22"/>
      <w:lang w:val="en-GB"/>
    </w:rPr>
  </w:style>
  <w:style w:type="paragraph" w:customStyle="1" w:styleId="Firm1Cont6">
    <w:name w:val="Firm1 Cont 6"/>
    <w:basedOn w:val="Firm1Cont5"/>
    <w:link w:val="Firm1Cont6Char"/>
    <w:rsid w:val="008C41EB"/>
    <w:pPr>
      <w:ind w:left="4320"/>
    </w:pPr>
  </w:style>
  <w:style w:type="character" w:customStyle="1" w:styleId="Firm1Cont6Char">
    <w:name w:val="Firm1 Cont 6 Char"/>
    <w:link w:val="Firm1Cont6"/>
    <w:rsid w:val="008C41EB"/>
    <w:rPr>
      <w:rFonts w:ascii="Times New Roman" w:eastAsia="SimSun" w:hAnsi="Times New Roman" w:cs="Times New Roman"/>
      <w:sz w:val="22"/>
      <w:lang w:val="en-GB"/>
    </w:rPr>
  </w:style>
  <w:style w:type="paragraph" w:customStyle="1" w:styleId="Firm1Cont7">
    <w:name w:val="Firm1 Cont 7"/>
    <w:basedOn w:val="Firm1Cont6"/>
    <w:link w:val="Firm1Cont7Char"/>
    <w:rsid w:val="008C41EB"/>
  </w:style>
  <w:style w:type="character" w:customStyle="1" w:styleId="Firm1Cont7Char">
    <w:name w:val="Firm1 Cont 7 Char"/>
    <w:link w:val="Firm1Cont7"/>
    <w:rsid w:val="008C41EB"/>
    <w:rPr>
      <w:rFonts w:ascii="Times New Roman" w:eastAsia="SimSun" w:hAnsi="Times New Roman" w:cs="Times New Roman"/>
      <w:sz w:val="22"/>
      <w:lang w:val="en-GB"/>
    </w:rPr>
  </w:style>
  <w:style w:type="paragraph" w:customStyle="1" w:styleId="Firm1Cont8">
    <w:name w:val="Firm1 Cont 8"/>
    <w:basedOn w:val="Firm1Cont7"/>
    <w:link w:val="Firm1Cont8Char"/>
    <w:rsid w:val="008C41EB"/>
    <w:pPr>
      <w:ind w:left="1440"/>
    </w:pPr>
  </w:style>
  <w:style w:type="character" w:customStyle="1" w:styleId="Firm1Cont8Char">
    <w:name w:val="Firm1 Cont 8 Char"/>
    <w:link w:val="Firm1Cont8"/>
    <w:rsid w:val="008C41EB"/>
    <w:rPr>
      <w:rFonts w:ascii="Times New Roman" w:eastAsia="SimSun" w:hAnsi="Times New Roman" w:cs="Times New Roman"/>
      <w:sz w:val="22"/>
      <w:lang w:val="en-GB"/>
    </w:rPr>
  </w:style>
  <w:style w:type="paragraph" w:customStyle="1" w:styleId="Firm1Cont9">
    <w:name w:val="Firm1 Cont 9"/>
    <w:basedOn w:val="Firm1Cont8"/>
    <w:link w:val="Firm1Cont9Char"/>
    <w:rsid w:val="008C41EB"/>
    <w:pPr>
      <w:ind w:left="2160"/>
    </w:pPr>
  </w:style>
  <w:style w:type="character" w:customStyle="1" w:styleId="Firm1Cont9Char">
    <w:name w:val="Firm1 Cont 9 Char"/>
    <w:link w:val="Firm1Cont9"/>
    <w:rsid w:val="008C41EB"/>
    <w:rPr>
      <w:rFonts w:ascii="Times New Roman" w:eastAsia="SimSun" w:hAnsi="Times New Roman" w:cs="Times New Roman"/>
      <w:sz w:val="22"/>
      <w:lang w:val="en-GB"/>
    </w:rPr>
  </w:style>
  <w:style w:type="paragraph" w:customStyle="1" w:styleId="Firm1L1">
    <w:name w:val="Firm1_L1"/>
    <w:basedOn w:val="Normal"/>
    <w:link w:val="Firm1L1Char"/>
    <w:rsid w:val="00383B5E"/>
    <w:pPr>
      <w:numPr>
        <w:numId w:val="7"/>
      </w:numPr>
      <w:spacing w:after="180" w:line="280" w:lineRule="exact"/>
      <w:jc w:val="both"/>
      <w:outlineLvl w:val="0"/>
    </w:pPr>
    <w:rPr>
      <w:rFonts w:eastAsia="SimSun" w:cs="Times New Roman"/>
    </w:rPr>
  </w:style>
  <w:style w:type="character" w:customStyle="1" w:styleId="Firm1L1Char">
    <w:name w:val="Firm1_L1 Char"/>
    <w:link w:val="Firm1L1"/>
    <w:rsid w:val="00383B5E"/>
    <w:rPr>
      <w:rFonts w:ascii="Times New Roman" w:eastAsia="SimSun" w:hAnsi="Times New Roman" w:cs="Times New Roman"/>
      <w:sz w:val="22"/>
      <w:lang w:val="en-GB"/>
    </w:rPr>
  </w:style>
  <w:style w:type="paragraph" w:customStyle="1" w:styleId="Firm1L2">
    <w:name w:val="Firm1_L2"/>
    <w:basedOn w:val="Firm1L1"/>
    <w:link w:val="Firm1L2Char"/>
    <w:rsid w:val="00E043E8"/>
    <w:pPr>
      <w:numPr>
        <w:ilvl w:val="1"/>
      </w:numPr>
      <w:ind w:left="1440"/>
      <w:outlineLvl w:val="1"/>
    </w:pPr>
  </w:style>
  <w:style w:type="character" w:customStyle="1" w:styleId="Firm1L2Char">
    <w:name w:val="Firm1_L2 Char"/>
    <w:link w:val="Firm1L2"/>
    <w:rsid w:val="00E043E8"/>
    <w:rPr>
      <w:rFonts w:ascii="Times New Roman" w:eastAsia="SimSun" w:hAnsi="Times New Roman" w:cs="Times New Roman"/>
      <w:sz w:val="22"/>
      <w:lang w:val="en-GB"/>
    </w:rPr>
  </w:style>
  <w:style w:type="paragraph" w:customStyle="1" w:styleId="Firm1L3">
    <w:name w:val="Firm1_L3"/>
    <w:basedOn w:val="Firm1L2"/>
    <w:link w:val="Firm1L3Char"/>
    <w:rsid w:val="00D61523"/>
    <w:pPr>
      <w:numPr>
        <w:ilvl w:val="2"/>
      </w:numPr>
      <w:outlineLvl w:val="2"/>
    </w:pPr>
  </w:style>
  <w:style w:type="character" w:customStyle="1" w:styleId="Firm1L3Char">
    <w:name w:val="Firm1_L3 Char"/>
    <w:link w:val="Firm1L3"/>
    <w:rsid w:val="00D61523"/>
    <w:rPr>
      <w:rFonts w:ascii="Times New Roman" w:eastAsia="SimSun" w:hAnsi="Times New Roman" w:cs="Times New Roman"/>
      <w:sz w:val="22"/>
      <w:lang w:val="en-GB"/>
    </w:rPr>
  </w:style>
  <w:style w:type="paragraph" w:customStyle="1" w:styleId="Firm1L4">
    <w:name w:val="Firm1_L4"/>
    <w:basedOn w:val="Firm1L3"/>
    <w:link w:val="Firm1L4Char"/>
    <w:rsid w:val="00D61523"/>
    <w:pPr>
      <w:numPr>
        <w:ilvl w:val="3"/>
      </w:numPr>
      <w:outlineLvl w:val="3"/>
    </w:pPr>
  </w:style>
  <w:style w:type="character" w:customStyle="1" w:styleId="Firm1L4Char">
    <w:name w:val="Firm1_L4 Char"/>
    <w:link w:val="Firm1L4"/>
    <w:rsid w:val="00D61523"/>
    <w:rPr>
      <w:rFonts w:ascii="Times New Roman" w:eastAsia="SimSun" w:hAnsi="Times New Roman" w:cs="Times New Roman"/>
      <w:sz w:val="22"/>
      <w:lang w:val="en-GB"/>
    </w:rPr>
  </w:style>
  <w:style w:type="paragraph" w:customStyle="1" w:styleId="Firm1L5">
    <w:name w:val="Firm1_L5"/>
    <w:basedOn w:val="Firm1L4"/>
    <w:link w:val="Firm1L5Char"/>
    <w:rsid w:val="00D61523"/>
    <w:pPr>
      <w:numPr>
        <w:ilvl w:val="4"/>
      </w:numPr>
      <w:outlineLvl w:val="4"/>
    </w:pPr>
  </w:style>
  <w:style w:type="character" w:customStyle="1" w:styleId="Firm1L5Char">
    <w:name w:val="Firm1_L5 Char"/>
    <w:link w:val="Firm1L5"/>
    <w:rsid w:val="00D61523"/>
    <w:rPr>
      <w:rFonts w:ascii="Times New Roman" w:eastAsia="SimSun" w:hAnsi="Times New Roman" w:cs="Times New Roman"/>
      <w:sz w:val="22"/>
      <w:lang w:val="en-GB"/>
    </w:rPr>
  </w:style>
  <w:style w:type="paragraph" w:customStyle="1" w:styleId="Firm1L6">
    <w:name w:val="Firm1_L6"/>
    <w:basedOn w:val="Firm1L5"/>
    <w:link w:val="Firm1L6Char"/>
    <w:rsid w:val="00D61523"/>
    <w:pPr>
      <w:numPr>
        <w:ilvl w:val="5"/>
      </w:numPr>
      <w:outlineLvl w:val="5"/>
    </w:pPr>
  </w:style>
  <w:style w:type="character" w:customStyle="1" w:styleId="Firm1L6Char">
    <w:name w:val="Firm1_L6 Char"/>
    <w:link w:val="Firm1L6"/>
    <w:rsid w:val="00D61523"/>
    <w:rPr>
      <w:rFonts w:ascii="Times New Roman" w:eastAsia="SimSun" w:hAnsi="Times New Roman" w:cs="Times New Roman"/>
      <w:sz w:val="22"/>
      <w:lang w:val="en-GB"/>
    </w:rPr>
  </w:style>
  <w:style w:type="paragraph" w:customStyle="1" w:styleId="Firm1L7">
    <w:name w:val="Firm1_L7"/>
    <w:basedOn w:val="Firm1L6"/>
    <w:link w:val="Firm1L7Char"/>
    <w:rsid w:val="00D61523"/>
    <w:pPr>
      <w:numPr>
        <w:ilvl w:val="6"/>
      </w:numPr>
      <w:outlineLvl w:val="6"/>
    </w:pPr>
  </w:style>
  <w:style w:type="character" w:customStyle="1" w:styleId="Firm1L7Char">
    <w:name w:val="Firm1_L7 Char"/>
    <w:link w:val="Firm1L7"/>
    <w:rsid w:val="00D61523"/>
    <w:rPr>
      <w:rFonts w:ascii="Times New Roman" w:eastAsia="SimSun" w:hAnsi="Times New Roman" w:cs="Times New Roman"/>
      <w:sz w:val="22"/>
      <w:lang w:val="en-GB"/>
    </w:rPr>
  </w:style>
  <w:style w:type="paragraph" w:customStyle="1" w:styleId="Firm1L8">
    <w:name w:val="Firm1_L8"/>
    <w:basedOn w:val="Firm1L7"/>
    <w:link w:val="Firm1L8Char"/>
    <w:rsid w:val="00D61523"/>
    <w:pPr>
      <w:numPr>
        <w:ilvl w:val="7"/>
      </w:numPr>
      <w:outlineLvl w:val="7"/>
    </w:pPr>
  </w:style>
  <w:style w:type="character" w:customStyle="1" w:styleId="Firm1L8Char">
    <w:name w:val="Firm1_L8 Char"/>
    <w:link w:val="Firm1L8"/>
    <w:rsid w:val="00D61523"/>
    <w:rPr>
      <w:rFonts w:ascii="Times New Roman" w:eastAsia="SimSun" w:hAnsi="Times New Roman" w:cs="Times New Roman"/>
      <w:sz w:val="22"/>
      <w:lang w:val="en-GB"/>
    </w:rPr>
  </w:style>
  <w:style w:type="paragraph" w:customStyle="1" w:styleId="Firm1L9">
    <w:name w:val="Firm1_L9"/>
    <w:basedOn w:val="Firm1L8"/>
    <w:link w:val="Firm1L9Char"/>
    <w:rsid w:val="00D61523"/>
    <w:pPr>
      <w:numPr>
        <w:ilvl w:val="8"/>
      </w:numPr>
      <w:outlineLvl w:val="8"/>
    </w:pPr>
  </w:style>
  <w:style w:type="character" w:customStyle="1" w:styleId="Firm1L9Char">
    <w:name w:val="Firm1_L9 Char"/>
    <w:link w:val="Firm1L9"/>
    <w:rsid w:val="00D61523"/>
    <w:rPr>
      <w:rFonts w:ascii="Times New Roman" w:eastAsia="SimSun" w:hAnsi="Times New Roman" w:cs="Times New Roman"/>
      <w:sz w:val="22"/>
      <w:lang w:val="en-GB"/>
    </w:rPr>
  </w:style>
  <w:style w:type="paragraph" w:customStyle="1" w:styleId="Style1">
    <w:name w:val="Style1"/>
    <w:basedOn w:val="Firm1L1"/>
    <w:link w:val="Style1Char"/>
    <w:qFormat/>
    <w:rsid w:val="00757792"/>
  </w:style>
  <w:style w:type="character" w:customStyle="1" w:styleId="Style1Char">
    <w:name w:val="Style1 Char"/>
    <w:basedOn w:val="Firm1L1Char"/>
    <w:link w:val="Style1"/>
    <w:rsid w:val="0037427F"/>
    <w:rPr>
      <w:rFonts w:ascii="Times New Roman" w:eastAsia="SimSun" w:hAnsi="Times New Roman" w:cs="Times New Roman"/>
      <w:sz w:val="22"/>
      <w:lang w:val="en-GB"/>
    </w:rPr>
  </w:style>
  <w:style w:type="paragraph" w:styleId="Revision">
    <w:name w:val="Revision"/>
    <w:hidden/>
    <w:uiPriority w:val="99"/>
    <w:semiHidden/>
    <w:rsid w:val="003A7DC0"/>
    <w:rPr>
      <w:rFonts w:ascii="Times New Roman" w:hAnsi="Times New Roman"/>
      <w:sz w:val="22"/>
      <w:lang w:val="en-GB"/>
    </w:rPr>
  </w:style>
  <w:style w:type="paragraph" w:customStyle="1" w:styleId="ListNumbers">
    <w:name w:val="List Numbers"/>
    <w:basedOn w:val="Normal"/>
    <w:rsid w:val="007E7548"/>
    <w:pPr>
      <w:numPr>
        <w:numId w:val="8"/>
      </w:numPr>
      <w:jc w:val="both"/>
      <w:outlineLvl w:val="0"/>
    </w:pPr>
    <w:rPr>
      <w:rFonts w:ascii="Arial" w:hAnsi="Arial" w:cstheme="minorBidi"/>
      <w:kern w:val="20"/>
      <w:sz w:val="20"/>
      <w:szCs w:val="22"/>
    </w:rPr>
  </w:style>
  <w:style w:type="character" w:customStyle="1" w:styleId="FootnoteTextChar1">
    <w:name w:val="Footnote Text Char1"/>
    <w:basedOn w:val="DefaultParagraphFont"/>
    <w:uiPriority w:val="99"/>
    <w:rsid w:val="0048547C"/>
    <w:rPr>
      <w:sz w:val="21"/>
      <w:szCs w:val="20"/>
    </w:rPr>
  </w:style>
  <w:style w:type="paragraph" w:customStyle="1" w:styleId="Level1">
    <w:name w:val="Level 1"/>
    <w:basedOn w:val="Normal"/>
    <w:next w:val="Normal"/>
    <w:rsid w:val="0048547C"/>
    <w:pPr>
      <w:keepNext/>
      <w:spacing w:before="280"/>
      <w:jc w:val="both"/>
      <w:outlineLvl w:val="0"/>
    </w:pPr>
    <w:rPr>
      <w:rFonts w:ascii="Arial" w:hAnsi="Arial" w:cstheme="minorBidi"/>
      <w:b/>
      <w:bCs/>
      <w:kern w:val="20"/>
      <w:szCs w:val="32"/>
    </w:rPr>
  </w:style>
  <w:style w:type="character" w:styleId="UnresolvedMention">
    <w:name w:val="Unresolved Mention"/>
    <w:basedOn w:val="DefaultParagraphFont"/>
    <w:uiPriority w:val="99"/>
    <w:semiHidden/>
    <w:unhideWhenUsed/>
    <w:rsid w:val="00D7397B"/>
    <w:rPr>
      <w:color w:val="605E5C"/>
      <w:shd w:val="clear" w:color="auto" w:fill="E1DFDD"/>
    </w:rPr>
  </w:style>
  <w:style w:type="character" w:styleId="Mention">
    <w:name w:val="Mention"/>
    <w:basedOn w:val="DefaultParagraphFont"/>
    <w:uiPriority w:val="99"/>
    <w:unhideWhenUsed/>
    <w:rsid w:val="00C80E53"/>
    <w:rPr>
      <w:color w:val="2B579A"/>
      <w:shd w:val="clear" w:color="auto" w:fill="E1DFDD"/>
    </w:rPr>
  </w:style>
  <w:style w:type="character" w:customStyle="1" w:styleId="citation-ref">
    <w:name w:val="citation-ref"/>
    <w:basedOn w:val="DefaultParagraphFont"/>
    <w:rsid w:val="00FC56A1"/>
  </w:style>
  <w:style w:type="paragraph" w:customStyle="1" w:styleId="Firm2Cont1">
    <w:name w:val="Firm2 Cont 1"/>
    <w:basedOn w:val="Normal"/>
    <w:link w:val="Firm2Cont1Char"/>
    <w:rsid w:val="00E043E8"/>
    <w:pPr>
      <w:spacing w:before="240" w:after="180" w:line="280" w:lineRule="atLeast"/>
      <w:ind w:left="720"/>
      <w:jc w:val="both"/>
    </w:pPr>
    <w:rPr>
      <w:rFonts w:eastAsia="SimSun" w:cs="Times New Roman"/>
    </w:rPr>
  </w:style>
  <w:style w:type="character" w:customStyle="1" w:styleId="Firm2Cont1Char">
    <w:name w:val="Firm2 Cont 1 Char"/>
    <w:link w:val="Firm2Cont1"/>
    <w:rsid w:val="00E043E8"/>
    <w:rPr>
      <w:rFonts w:ascii="Times New Roman" w:eastAsia="SimSun" w:hAnsi="Times New Roman" w:cs="Times New Roman"/>
      <w:sz w:val="22"/>
      <w:lang w:val="en-GB"/>
    </w:rPr>
  </w:style>
  <w:style w:type="paragraph" w:customStyle="1" w:styleId="Firm2Cont2">
    <w:name w:val="Firm2 Cont 2"/>
    <w:basedOn w:val="Firm2Cont1"/>
    <w:link w:val="Firm2Cont2Char"/>
    <w:rsid w:val="00E043E8"/>
  </w:style>
  <w:style w:type="character" w:customStyle="1" w:styleId="Firm2Cont2Char">
    <w:name w:val="Firm2 Cont 2 Char"/>
    <w:link w:val="Firm2Cont2"/>
    <w:rsid w:val="00E043E8"/>
    <w:rPr>
      <w:rFonts w:ascii="Times New Roman" w:eastAsia="SimSun" w:hAnsi="Times New Roman" w:cs="Times New Roman"/>
      <w:sz w:val="22"/>
      <w:lang w:val="en-GB"/>
    </w:rPr>
  </w:style>
  <w:style w:type="paragraph" w:customStyle="1" w:styleId="Firm2Cont3">
    <w:name w:val="Firm2 Cont 3"/>
    <w:basedOn w:val="Firm2Cont2"/>
    <w:link w:val="Firm2Cont3Char"/>
    <w:rsid w:val="00E043E8"/>
  </w:style>
  <w:style w:type="character" w:customStyle="1" w:styleId="Firm2Cont3Char">
    <w:name w:val="Firm2 Cont 3 Char"/>
    <w:link w:val="Firm2Cont3"/>
    <w:rsid w:val="00E043E8"/>
    <w:rPr>
      <w:rFonts w:ascii="Times New Roman" w:eastAsia="SimSun" w:hAnsi="Times New Roman" w:cs="Times New Roman"/>
      <w:sz w:val="22"/>
      <w:lang w:val="en-GB"/>
    </w:rPr>
  </w:style>
  <w:style w:type="paragraph" w:customStyle="1" w:styleId="Firm2Cont4">
    <w:name w:val="Firm2 Cont 4"/>
    <w:basedOn w:val="Normal"/>
    <w:link w:val="Firm2Cont4Char"/>
    <w:rsid w:val="00E043E8"/>
    <w:pPr>
      <w:spacing w:after="180" w:line="280" w:lineRule="atLeast"/>
      <w:ind w:left="720"/>
      <w:jc w:val="both"/>
    </w:pPr>
    <w:rPr>
      <w:rFonts w:eastAsia="SimSun" w:cs="Times New Roman"/>
    </w:rPr>
  </w:style>
  <w:style w:type="character" w:customStyle="1" w:styleId="Firm2Cont4Char">
    <w:name w:val="Firm2 Cont 4 Char"/>
    <w:link w:val="Firm2Cont4"/>
    <w:rsid w:val="00E043E8"/>
    <w:rPr>
      <w:rFonts w:ascii="Times New Roman" w:eastAsia="SimSun" w:hAnsi="Times New Roman" w:cs="Times New Roman"/>
      <w:sz w:val="22"/>
      <w:lang w:val="en-GB"/>
    </w:rPr>
  </w:style>
  <w:style w:type="paragraph" w:customStyle="1" w:styleId="Firm2Cont5">
    <w:name w:val="Firm2 Cont 5"/>
    <w:basedOn w:val="Firm2Cont4"/>
    <w:link w:val="Firm2Cont5Char"/>
    <w:rsid w:val="00E043E8"/>
    <w:pPr>
      <w:ind w:left="1440"/>
    </w:pPr>
  </w:style>
  <w:style w:type="character" w:customStyle="1" w:styleId="Firm2Cont5Char">
    <w:name w:val="Firm2 Cont 5 Char"/>
    <w:link w:val="Firm2Cont5"/>
    <w:rsid w:val="00E043E8"/>
    <w:rPr>
      <w:rFonts w:ascii="Times New Roman" w:eastAsia="SimSun" w:hAnsi="Times New Roman" w:cs="Times New Roman"/>
      <w:sz w:val="22"/>
      <w:lang w:val="en-GB"/>
    </w:rPr>
  </w:style>
  <w:style w:type="paragraph" w:customStyle="1" w:styleId="Firm2Cont6">
    <w:name w:val="Firm2 Cont 6"/>
    <w:basedOn w:val="Firm2Cont5"/>
    <w:link w:val="Firm2Cont6Char"/>
    <w:rsid w:val="00E043E8"/>
    <w:pPr>
      <w:ind w:left="2160"/>
    </w:pPr>
  </w:style>
  <w:style w:type="character" w:customStyle="1" w:styleId="Firm2Cont6Char">
    <w:name w:val="Firm2 Cont 6 Char"/>
    <w:link w:val="Firm2Cont6"/>
    <w:rsid w:val="00E043E8"/>
    <w:rPr>
      <w:rFonts w:ascii="Times New Roman" w:eastAsia="SimSun" w:hAnsi="Times New Roman" w:cs="Times New Roman"/>
      <w:sz w:val="22"/>
      <w:lang w:val="en-GB"/>
    </w:rPr>
  </w:style>
  <w:style w:type="paragraph" w:customStyle="1" w:styleId="Firm2Cont7">
    <w:name w:val="Firm2 Cont 7"/>
    <w:basedOn w:val="Firm2Cont6"/>
    <w:link w:val="Firm2Cont7Char"/>
    <w:rsid w:val="00E043E8"/>
    <w:pPr>
      <w:ind w:left="2880"/>
    </w:pPr>
  </w:style>
  <w:style w:type="character" w:customStyle="1" w:styleId="Firm2Cont7Char">
    <w:name w:val="Firm2 Cont 7 Char"/>
    <w:link w:val="Firm2Cont7"/>
    <w:rsid w:val="00E043E8"/>
    <w:rPr>
      <w:rFonts w:ascii="Times New Roman" w:eastAsia="SimSun" w:hAnsi="Times New Roman" w:cs="Times New Roman"/>
      <w:sz w:val="22"/>
      <w:lang w:val="en-GB"/>
    </w:rPr>
  </w:style>
  <w:style w:type="paragraph" w:customStyle="1" w:styleId="Firm2Cont8">
    <w:name w:val="Firm2 Cont 8"/>
    <w:basedOn w:val="Firm2Cont7"/>
    <w:link w:val="Firm2Cont8Char"/>
    <w:rsid w:val="00E043E8"/>
    <w:pPr>
      <w:ind w:left="1440"/>
    </w:pPr>
  </w:style>
  <w:style w:type="character" w:customStyle="1" w:styleId="Firm2Cont8Char">
    <w:name w:val="Firm2 Cont 8 Char"/>
    <w:link w:val="Firm2Cont8"/>
    <w:rsid w:val="00E043E8"/>
    <w:rPr>
      <w:rFonts w:ascii="Times New Roman" w:eastAsia="SimSun" w:hAnsi="Times New Roman" w:cs="Times New Roman"/>
      <w:sz w:val="22"/>
      <w:lang w:val="en-GB"/>
    </w:rPr>
  </w:style>
  <w:style w:type="paragraph" w:customStyle="1" w:styleId="Firm2Cont9">
    <w:name w:val="Firm2 Cont 9"/>
    <w:basedOn w:val="Firm2Cont8"/>
    <w:link w:val="Firm2Cont9Char"/>
    <w:rsid w:val="00E043E8"/>
    <w:pPr>
      <w:ind w:left="2160"/>
    </w:pPr>
  </w:style>
  <w:style w:type="character" w:customStyle="1" w:styleId="Firm2Cont9Char">
    <w:name w:val="Firm2 Cont 9 Char"/>
    <w:link w:val="Firm2Cont9"/>
    <w:rsid w:val="00E043E8"/>
    <w:rPr>
      <w:rFonts w:ascii="Times New Roman" w:eastAsia="SimSun" w:hAnsi="Times New Roman" w:cs="Times New Roman"/>
      <w:sz w:val="22"/>
      <w:lang w:val="en-GB"/>
    </w:rPr>
  </w:style>
  <w:style w:type="paragraph" w:customStyle="1" w:styleId="Firm2L1">
    <w:name w:val="Firm2_L1"/>
    <w:basedOn w:val="Normal"/>
    <w:next w:val="Firm2Cont1"/>
    <w:link w:val="Firm2L1Char"/>
    <w:rsid w:val="00E043E8"/>
    <w:pPr>
      <w:keepNext/>
      <w:numPr>
        <w:numId w:val="51"/>
      </w:numPr>
      <w:spacing w:before="240" w:after="180" w:line="280" w:lineRule="atLeast"/>
      <w:jc w:val="both"/>
      <w:outlineLvl w:val="0"/>
    </w:pPr>
    <w:rPr>
      <w:rFonts w:eastAsia="SimSun" w:cs="Times New Roman"/>
      <w:u w:val="single"/>
    </w:rPr>
  </w:style>
  <w:style w:type="character" w:customStyle="1" w:styleId="Firm2L1Char">
    <w:name w:val="Firm2_L1 Char"/>
    <w:link w:val="Firm2L1"/>
    <w:rsid w:val="00E043E8"/>
    <w:rPr>
      <w:rFonts w:ascii="Times New Roman" w:eastAsia="SimSun" w:hAnsi="Times New Roman" w:cs="Times New Roman"/>
      <w:sz w:val="22"/>
      <w:u w:val="single"/>
      <w:lang w:val="en-GB"/>
    </w:rPr>
  </w:style>
  <w:style w:type="paragraph" w:customStyle="1" w:styleId="Firm2L2">
    <w:name w:val="Firm2_L2"/>
    <w:basedOn w:val="Firm2L1"/>
    <w:next w:val="Firm2Cont2"/>
    <w:link w:val="Firm2L2Char"/>
    <w:rsid w:val="00E043E8"/>
    <w:pPr>
      <w:numPr>
        <w:ilvl w:val="1"/>
      </w:numPr>
      <w:outlineLvl w:val="1"/>
    </w:pPr>
    <w:rPr>
      <w:b/>
      <w:u w:val="none"/>
    </w:rPr>
  </w:style>
  <w:style w:type="character" w:customStyle="1" w:styleId="Firm2L2Char">
    <w:name w:val="Firm2_L2 Char"/>
    <w:link w:val="Firm2L2"/>
    <w:rsid w:val="00E043E8"/>
    <w:rPr>
      <w:rFonts w:ascii="Times New Roman" w:eastAsia="SimSun" w:hAnsi="Times New Roman" w:cs="Times New Roman"/>
      <w:b/>
      <w:sz w:val="22"/>
      <w:lang w:val="en-GB"/>
    </w:rPr>
  </w:style>
  <w:style w:type="paragraph" w:customStyle="1" w:styleId="Firm2L3">
    <w:name w:val="Firm2_L3"/>
    <w:basedOn w:val="Firm2L2"/>
    <w:link w:val="Firm2L3Char"/>
    <w:rsid w:val="00E043E8"/>
    <w:pPr>
      <w:numPr>
        <w:ilvl w:val="2"/>
      </w:numPr>
      <w:tabs>
        <w:tab w:val="num" w:pos="2160"/>
      </w:tabs>
      <w:outlineLvl w:val="2"/>
    </w:pPr>
  </w:style>
  <w:style w:type="character" w:customStyle="1" w:styleId="Firm2L3Char">
    <w:name w:val="Firm2_L3 Char"/>
    <w:link w:val="Firm2L3"/>
    <w:rsid w:val="00E043E8"/>
    <w:rPr>
      <w:rFonts w:ascii="Times New Roman" w:eastAsia="SimSun" w:hAnsi="Times New Roman" w:cs="Times New Roman"/>
      <w:b/>
      <w:sz w:val="22"/>
      <w:lang w:val="en-GB"/>
    </w:rPr>
  </w:style>
  <w:style w:type="paragraph" w:customStyle="1" w:styleId="Firm2L4">
    <w:name w:val="Firm2_L4"/>
    <w:basedOn w:val="Firm2L3"/>
    <w:link w:val="Firm2L4Char"/>
    <w:rsid w:val="00E043E8"/>
    <w:pPr>
      <w:keepNext w:val="0"/>
      <w:numPr>
        <w:ilvl w:val="3"/>
      </w:numPr>
      <w:tabs>
        <w:tab w:val="clear" w:pos="2160"/>
        <w:tab w:val="num" w:pos="2880"/>
      </w:tabs>
      <w:spacing w:before="0"/>
      <w:outlineLvl w:val="3"/>
    </w:pPr>
    <w:rPr>
      <w:b w:val="0"/>
    </w:rPr>
  </w:style>
  <w:style w:type="character" w:customStyle="1" w:styleId="Firm2L4Char">
    <w:name w:val="Firm2_L4 Char"/>
    <w:link w:val="Firm2L4"/>
    <w:rsid w:val="00E043E8"/>
    <w:rPr>
      <w:rFonts w:ascii="Times New Roman" w:eastAsia="SimSun" w:hAnsi="Times New Roman" w:cs="Times New Roman"/>
      <w:sz w:val="22"/>
      <w:lang w:val="en-GB"/>
    </w:rPr>
  </w:style>
  <w:style w:type="paragraph" w:customStyle="1" w:styleId="Firm2L5">
    <w:name w:val="Firm2_L5"/>
    <w:basedOn w:val="Firm2L4"/>
    <w:link w:val="Firm2L5Char"/>
    <w:rsid w:val="00E043E8"/>
    <w:pPr>
      <w:numPr>
        <w:ilvl w:val="4"/>
      </w:numPr>
      <w:tabs>
        <w:tab w:val="clear" w:pos="2880"/>
        <w:tab w:val="num" w:pos="3600"/>
      </w:tabs>
      <w:outlineLvl w:val="4"/>
    </w:pPr>
  </w:style>
  <w:style w:type="character" w:customStyle="1" w:styleId="Firm2L5Char">
    <w:name w:val="Firm2_L5 Char"/>
    <w:link w:val="Firm2L5"/>
    <w:rsid w:val="00E043E8"/>
    <w:rPr>
      <w:rFonts w:ascii="Times New Roman" w:eastAsia="SimSun" w:hAnsi="Times New Roman" w:cs="Times New Roman"/>
      <w:sz w:val="22"/>
      <w:lang w:val="en-GB"/>
    </w:rPr>
  </w:style>
  <w:style w:type="paragraph" w:customStyle="1" w:styleId="Firm2L6">
    <w:name w:val="Firm2_L6"/>
    <w:basedOn w:val="Firm2L5"/>
    <w:link w:val="Firm2L6Char"/>
    <w:rsid w:val="00E043E8"/>
    <w:pPr>
      <w:numPr>
        <w:ilvl w:val="5"/>
      </w:numPr>
      <w:tabs>
        <w:tab w:val="clear" w:pos="3600"/>
        <w:tab w:val="num" w:pos="4320"/>
      </w:tabs>
      <w:outlineLvl w:val="5"/>
    </w:pPr>
  </w:style>
  <w:style w:type="character" w:customStyle="1" w:styleId="Firm2L6Char">
    <w:name w:val="Firm2_L6 Char"/>
    <w:link w:val="Firm2L6"/>
    <w:rsid w:val="00E043E8"/>
    <w:rPr>
      <w:rFonts w:ascii="Times New Roman" w:eastAsia="SimSun" w:hAnsi="Times New Roman" w:cs="Times New Roman"/>
      <w:sz w:val="22"/>
      <w:lang w:val="en-GB"/>
    </w:rPr>
  </w:style>
  <w:style w:type="paragraph" w:customStyle="1" w:styleId="Firm2L7">
    <w:name w:val="Firm2_L7"/>
    <w:basedOn w:val="Firm2L6"/>
    <w:link w:val="Firm2L7Char"/>
    <w:rsid w:val="00E043E8"/>
    <w:pPr>
      <w:numPr>
        <w:ilvl w:val="6"/>
      </w:numPr>
      <w:tabs>
        <w:tab w:val="clear" w:pos="4320"/>
        <w:tab w:val="num" w:pos="5040"/>
      </w:tabs>
      <w:outlineLvl w:val="6"/>
    </w:pPr>
  </w:style>
  <w:style w:type="character" w:customStyle="1" w:styleId="Firm2L7Char">
    <w:name w:val="Firm2_L7 Char"/>
    <w:basedOn w:val="Style1Char"/>
    <w:link w:val="Firm2L7"/>
    <w:rsid w:val="00E043E8"/>
    <w:rPr>
      <w:rFonts w:ascii="Times New Roman" w:eastAsia="SimSun" w:hAnsi="Times New Roman" w:cs="Times New Roman"/>
      <w:sz w:val="22"/>
      <w:lang w:val="en-GB"/>
    </w:rPr>
  </w:style>
  <w:style w:type="paragraph" w:customStyle="1" w:styleId="Firm2L8">
    <w:name w:val="Firm2_L8"/>
    <w:basedOn w:val="Firm2L7"/>
    <w:link w:val="Firm2L8Char"/>
    <w:rsid w:val="00E043E8"/>
    <w:pPr>
      <w:numPr>
        <w:ilvl w:val="7"/>
      </w:numPr>
      <w:tabs>
        <w:tab w:val="clear" w:pos="5040"/>
        <w:tab w:val="num" w:pos="5760"/>
      </w:tabs>
      <w:outlineLvl w:val="7"/>
    </w:pPr>
  </w:style>
  <w:style w:type="character" w:customStyle="1" w:styleId="Firm2L8Char">
    <w:name w:val="Firm2_L8 Char"/>
    <w:link w:val="Firm2L8"/>
    <w:rsid w:val="00E043E8"/>
    <w:rPr>
      <w:rFonts w:ascii="Times New Roman" w:eastAsia="SimSun" w:hAnsi="Times New Roman" w:cs="Times New Roman"/>
      <w:sz w:val="22"/>
      <w:lang w:val="en-GB"/>
    </w:rPr>
  </w:style>
  <w:style w:type="paragraph" w:customStyle="1" w:styleId="Firm2L9">
    <w:name w:val="Firm2_L9"/>
    <w:basedOn w:val="Firm2L8"/>
    <w:link w:val="Firm2L9Char"/>
    <w:rsid w:val="00E043E8"/>
    <w:pPr>
      <w:numPr>
        <w:ilvl w:val="8"/>
      </w:numPr>
      <w:tabs>
        <w:tab w:val="clear" w:pos="5760"/>
        <w:tab w:val="num" w:pos="6480"/>
      </w:tabs>
      <w:outlineLvl w:val="8"/>
    </w:pPr>
  </w:style>
  <w:style w:type="character" w:customStyle="1" w:styleId="Firm2L9Char">
    <w:name w:val="Firm2_L9 Char"/>
    <w:link w:val="Firm2L9"/>
    <w:rsid w:val="00E043E8"/>
    <w:rPr>
      <w:rFonts w:ascii="Times New Roman" w:eastAsia="SimSun" w:hAnsi="Times New Roman" w:cs="Times New Roman"/>
      <w:sz w:val="22"/>
      <w:lang w:val="en-GB"/>
    </w:rPr>
  </w:style>
  <w:style w:type="paragraph" w:customStyle="1" w:styleId="Firm5Cont1">
    <w:name w:val="Firm5 Cont 1"/>
    <w:basedOn w:val="Normal"/>
    <w:link w:val="Firm5Cont1Char"/>
    <w:rsid w:val="00E043E8"/>
    <w:pPr>
      <w:spacing w:before="240" w:after="180" w:line="280" w:lineRule="atLeast"/>
      <w:ind w:left="720"/>
      <w:jc w:val="both"/>
    </w:pPr>
    <w:rPr>
      <w:rFonts w:eastAsia="SimSun" w:cs="Times New Roman"/>
      <w:szCs w:val="22"/>
      <w:lang w:eastAsia="zh-CN"/>
    </w:rPr>
  </w:style>
  <w:style w:type="character" w:customStyle="1" w:styleId="Firm5Cont1Char">
    <w:name w:val="Firm5 Cont 1 Char"/>
    <w:link w:val="Firm5Cont1"/>
    <w:rsid w:val="00E043E8"/>
    <w:rPr>
      <w:rFonts w:ascii="Times New Roman" w:eastAsia="SimSun" w:hAnsi="Times New Roman" w:cs="Times New Roman"/>
      <w:sz w:val="22"/>
      <w:szCs w:val="22"/>
      <w:lang w:val="en-GB" w:eastAsia="zh-CN"/>
    </w:rPr>
  </w:style>
  <w:style w:type="paragraph" w:customStyle="1" w:styleId="Firm5Cont2">
    <w:name w:val="Firm5 Cont 2"/>
    <w:basedOn w:val="Firm5Cont1"/>
    <w:link w:val="Firm5Cont2Char"/>
    <w:rsid w:val="00E043E8"/>
    <w:pPr>
      <w:spacing w:before="0"/>
    </w:pPr>
  </w:style>
  <w:style w:type="character" w:customStyle="1" w:styleId="Firm5Cont2Char">
    <w:name w:val="Firm5 Cont 2 Char"/>
    <w:link w:val="Firm5Cont2"/>
    <w:rsid w:val="00E043E8"/>
    <w:rPr>
      <w:rFonts w:ascii="Times New Roman" w:eastAsia="SimSun" w:hAnsi="Times New Roman" w:cs="Times New Roman"/>
      <w:sz w:val="22"/>
      <w:szCs w:val="22"/>
      <w:lang w:val="en-GB" w:eastAsia="zh-CN"/>
    </w:rPr>
  </w:style>
  <w:style w:type="paragraph" w:customStyle="1" w:styleId="Firm5Cont3">
    <w:name w:val="Firm5 Cont 3"/>
    <w:basedOn w:val="Firm5Cont2"/>
    <w:link w:val="Firm5Cont3Char"/>
    <w:rsid w:val="00E043E8"/>
  </w:style>
  <w:style w:type="character" w:customStyle="1" w:styleId="Firm5Cont3Char">
    <w:name w:val="Firm5 Cont 3 Char"/>
    <w:link w:val="Firm5Cont3"/>
    <w:rsid w:val="00E043E8"/>
    <w:rPr>
      <w:rFonts w:ascii="Times New Roman" w:eastAsia="SimSun" w:hAnsi="Times New Roman" w:cs="Times New Roman"/>
      <w:sz w:val="22"/>
      <w:szCs w:val="22"/>
      <w:lang w:val="en-GB" w:eastAsia="zh-CN"/>
    </w:rPr>
  </w:style>
  <w:style w:type="paragraph" w:customStyle="1" w:styleId="Firm5Cont4">
    <w:name w:val="Firm5 Cont 4"/>
    <w:basedOn w:val="Firm5Cont3"/>
    <w:link w:val="Firm5Cont4Char"/>
    <w:rsid w:val="00E043E8"/>
    <w:pPr>
      <w:ind w:left="1440"/>
    </w:pPr>
  </w:style>
  <w:style w:type="character" w:customStyle="1" w:styleId="Firm5Cont4Char">
    <w:name w:val="Firm5 Cont 4 Char"/>
    <w:link w:val="Firm5Cont4"/>
    <w:rsid w:val="00E043E8"/>
    <w:rPr>
      <w:rFonts w:ascii="Times New Roman" w:eastAsia="SimSun" w:hAnsi="Times New Roman" w:cs="Times New Roman"/>
      <w:sz w:val="22"/>
      <w:szCs w:val="22"/>
      <w:lang w:val="en-GB" w:eastAsia="zh-CN"/>
    </w:rPr>
  </w:style>
  <w:style w:type="paragraph" w:customStyle="1" w:styleId="Firm5Cont5">
    <w:name w:val="Firm5 Cont 5"/>
    <w:basedOn w:val="Firm5Cont4"/>
    <w:link w:val="Firm5Cont5Char"/>
    <w:rsid w:val="00E043E8"/>
    <w:pPr>
      <w:ind w:left="2160"/>
    </w:pPr>
  </w:style>
  <w:style w:type="character" w:customStyle="1" w:styleId="Firm5Cont5Char">
    <w:name w:val="Firm5 Cont 5 Char"/>
    <w:link w:val="Firm5Cont5"/>
    <w:rsid w:val="00E043E8"/>
    <w:rPr>
      <w:rFonts w:ascii="Times New Roman" w:eastAsia="SimSun" w:hAnsi="Times New Roman" w:cs="Times New Roman"/>
      <w:sz w:val="22"/>
      <w:szCs w:val="22"/>
      <w:lang w:val="en-GB" w:eastAsia="zh-CN"/>
    </w:rPr>
  </w:style>
  <w:style w:type="paragraph" w:customStyle="1" w:styleId="Firm5Cont6">
    <w:name w:val="Firm5 Cont 6"/>
    <w:basedOn w:val="Firm5Cont5"/>
    <w:link w:val="Firm5Cont6Char"/>
    <w:rsid w:val="00E043E8"/>
    <w:pPr>
      <w:spacing w:line="280" w:lineRule="exact"/>
      <w:ind w:left="2880"/>
    </w:pPr>
  </w:style>
  <w:style w:type="character" w:customStyle="1" w:styleId="Firm5Cont6Char">
    <w:name w:val="Firm5 Cont 6 Char"/>
    <w:link w:val="Firm5Cont6"/>
    <w:rsid w:val="00E043E8"/>
    <w:rPr>
      <w:rFonts w:ascii="Times New Roman" w:eastAsia="SimSun" w:hAnsi="Times New Roman" w:cs="Times New Roman"/>
      <w:sz w:val="22"/>
      <w:szCs w:val="22"/>
      <w:lang w:val="en-GB" w:eastAsia="zh-CN"/>
    </w:rPr>
  </w:style>
  <w:style w:type="paragraph" w:customStyle="1" w:styleId="Firm5Cont7">
    <w:name w:val="Firm5 Cont 7"/>
    <w:basedOn w:val="Firm5Cont6"/>
    <w:link w:val="Firm5Cont7Char"/>
    <w:rsid w:val="00E043E8"/>
    <w:pPr>
      <w:spacing w:line="280" w:lineRule="atLeast"/>
      <w:ind w:left="3600"/>
    </w:pPr>
  </w:style>
  <w:style w:type="character" w:customStyle="1" w:styleId="Firm5Cont7Char">
    <w:name w:val="Firm5 Cont 7 Char"/>
    <w:link w:val="Firm5Cont7"/>
    <w:rsid w:val="00E043E8"/>
    <w:rPr>
      <w:rFonts w:ascii="Times New Roman" w:eastAsia="SimSun" w:hAnsi="Times New Roman" w:cs="Times New Roman"/>
      <w:sz w:val="22"/>
      <w:szCs w:val="22"/>
      <w:lang w:val="en-GB" w:eastAsia="zh-CN"/>
    </w:rPr>
  </w:style>
  <w:style w:type="paragraph" w:customStyle="1" w:styleId="Firm5Cont8">
    <w:name w:val="Firm5 Cont 8"/>
    <w:basedOn w:val="Firm5Cont7"/>
    <w:link w:val="Firm5Cont8Char"/>
    <w:rsid w:val="00E043E8"/>
    <w:pPr>
      <w:ind w:left="4320"/>
    </w:pPr>
  </w:style>
  <w:style w:type="character" w:customStyle="1" w:styleId="Firm5Cont8Char">
    <w:name w:val="Firm5 Cont 8 Char"/>
    <w:link w:val="Firm5Cont8"/>
    <w:rsid w:val="00E043E8"/>
    <w:rPr>
      <w:rFonts w:ascii="Times New Roman" w:eastAsia="SimSun" w:hAnsi="Times New Roman" w:cs="Times New Roman"/>
      <w:sz w:val="22"/>
      <w:szCs w:val="22"/>
      <w:lang w:val="en-GB" w:eastAsia="zh-CN"/>
    </w:rPr>
  </w:style>
  <w:style w:type="paragraph" w:customStyle="1" w:styleId="Firm5Cont9">
    <w:name w:val="Firm5 Cont 9"/>
    <w:basedOn w:val="Firm5Cont8"/>
    <w:link w:val="Firm5Cont9Char"/>
    <w:rsid w:val="00E043E8"/>
    <w:pPr>
      <w:ind w:left="5040"/>
    </w:pPr>
  </w:style>
  <w:style w:type="character" w:customStyle="1" w:styleId="Firm5Cont9Char">
    <w:name w:val="Firm5 Cont 9 Char"/>
    <w:link w:val="Firm5Cont9"/>
    <w:rsid w:val="00E043E8"/>
    <w:rPr>
      <w:rFonts w:ascii="Times New Roman" w:eastAsia="SimSun" w:hAnsi="Times New Roman" w:cs="Times New Roman"/>
      <w:sz w:val="22"/>
      <w:szCs w:val="22"/>
      <w:lang w:val="en-GB" w:eastAsia="zh-CN"/>
    </w:rPr>
  </w:style>
  <w:style w:type="paragraph" w:customStyle="1" w:styleId="Firm5L1">
    <w:name w:val="Firm5_L1"/>
    <w:basedOn w:val="Normal"/>
    <w:next w:val="Firm5L2"/>
    <w:link w:val="Firm5L1Char"/>
    <w:rsid w:val="00E043E8"/>
    <w:pPr>
      <w:keepNext/>
      <w:numPr>
        <w:numId w:val="60"/>
      </w:numPr>
      <w:spacing w:before="240" w:after="180" w:line="280" w:lineRule="atLeast"/>
      <w:jc w:val="both"/>
      <w:outlineLvl w:val="0"/>
    </w:pPr>
    <w:rPr>
      <w:rFonts w:eastAsia="SimSun" w:cs="Times New Roman"/>
      <w:b/>
      <w:caps/>
    </w:rPr>
  </w:style>
  <w:style w:type="character" w:customStyle="1" w:styleId="Firm5L1Char">
    <w:name w:val="Firm5_L1 Char"/>
    <w:link w:val="Firm5L1"/>
    <w:rsid w:val="00E043E8"/>
    <w:rPr>
      <w:rFonts w:ascii="Times New Roman" w:eastAsia="SimSun" w:hAnsi="Times New Roman" w:cs="Times New Roman"/>
      <w:b/>
      <w:caps/>
      <w:sz w:val="22"/>
      <w:lang w:val="en-GB"/>
    </w:rPr>
  </w:style>
  <w:style w:type="paragraph" w:customStyle="1" w:styleId="Firm5L2">
    <w:name w:val="Firm5_L2"/>
    <w:basedOn w:val="Firm5L1"/>
    <w:next w:val="Firm5L3"/>
    <w:link w:val="Firm5L2Char"/>
    <w:rsid w:val="00E043E8"/>
    <w:pPr>
      <w:numPr>
        <w:ilvl w:val="1"/>
      </w:numPr>
      <w:tabs>
        <w:tab w:val="num" w:pos="1440"/>
      </w:tabs>
      <w:spacing w:before="0"/>
      <w:outlineLvl w:val="1"/>
    </w:pPr>
    <w:rPr>
      <w:caps w:val="0"/>
    </w:rPr>
  </w:style>
  <w:style w:type="character" w:customStyle="1" w:styleId="Firm5L2Char">
    <w:name w:val="Firm5_L2 Char"/>
    <w:link w:val="Firm5L2"/>
    <w:rsid w:val="00E043E8"/>
    <w:rPr>
      <w:rFonts w:ascii="Times New Roman" w:eastAsia="SimSun" w:hAnsi="Times New Roman" w:cs="Times New Roman"/>
      <w:b/>
      <w:sz w:val="22"/>
      <w:lang w:val="en-GB"/>
    </w:rPr>
  </w:style>
  <w:style w:type="paragraph" w:customStyle="1" w:styleId="Firm5L3">
    <w:name w:val="Firm5_L3"/>
    <w:basedOn w:val="Firm5L2"/>
    <w:link w:val="Firm5L3Char"/>
    <w:rsid w:val="00E043E8"/>
    <w:pPr>
      <w:keepNext w:val="0"/>
      <w:numPr>
        <w:ilvl w:val="2"/>
      </w:numPr>
      <w:tabs>
        <w:tab w:val="clear" w:pos="1440"/>
      </w:tabs>
      <w:outlineLvl w:val="2"/>
    </w:pPr>
    <w:rPr>
      <w:b w:val="0"/>
      <w:u w:val="single"/>
    </w:rPr>
  </w:style>
  <w:style w:type="character" w:customStyle="1" w:styleId="Firm5L3Char">
    <w:name w:val="Firm5_L3 Char"/>
    <w:link w:val="Firm5L3"/>
    <w:rsid w:val="00E043E8"/>
    <w:rPr>
      <w:rFonts w:ascii="Times New Roman" w:eastAsia="SimSun" w:hAnsi="Times New Roman" w:cs="Times New Roman"/>
      <w:sz w:val="22"/>
      <w:u w:val="single"/>
      <w:lang w:val="en-GB"/>
    </w:rPr>
  </w:style>
  <w:style w:type="paragraph" w:customStyle="1" w:styleId="Firm5L4">
    <w:name w:val="Firm5_L4"/>
    <w:basedOn w:val="Firm5L3"/>
    <w:link w:val="Firm5L4Char"/>
    <w:rsid w:val="00E043E8"/>
    <w:pPr>
      <w:numPr>
        <w:ilvl w:val="3"/>
      </w:numPr>
      <w:tabs>
        <w:tab w:val="num" w:pos="2880"/>
      </w:tabs>
      <w:outlineLvl w:val="3"/>
    </w:pPr>
    <w:rPr>
      <w:u w:val="none"/>
    </w:rPr>
  </w:style>
  <w:style w:type="character" w:customStyle="1" w:styleId="Firm5L4Char">
    <w:name w:val="Firm5_L4 Char"/>
    <w:basedOn w:val="Style1Char"/>
    <w:link w:val="Firm5L4"/>
    <w:rsid w:val="00E043E8"/>
    <w:rPr>
      <w:rFonts w:ascii="Times New Roman" w:eastAsia="SimSun" w:hAnsi="Times New Roman" w:cs="Times New Roman"/>
      <w:sz w:val="22"/>
      <w:lang w:val="en-GB"/>
    </w:rPr>
  </w:style>
  <w:style w:type="paragraph" w:customStyle="1" w:styleId="Firm5L5">
    <w:name w:val="Firm5_L5"/>
    <w:basedOn w:val="Firm5L4"/>
    <w:link w:val="Firm5L5Char"/>
    <w:rsid w:val="00E043E8"/>
    <w:pPr>
      <w:numPr>
        <w:ilvl w:val="4"/>
      </w:numPr>
      <w:tabs>
        <w:tab w:val="num" w:pos="3600"/>
      </w:tabs>
      <w:outlineLvl w:val="4"/>
    </w:pPr>
  </w:style>
  <w:style w:type="character" w:customStyle="1" w:styleId="Firm5L5Char">
    <w:name w:val="Firm5_L5 Char"/>
    <w:link w:val="Firm5L5"/>
    <w:rsid w:val="00E043E8"/>
    <w:rPr>
      <w:rFonts w:ascii="Times New Roman" w:eastAsia="SimSun" w:hAnsi="Times New Roman" w:cs="Times New Roman"/>
      <w:sz w:val="22"/>
      <w:lang w:val="en-GB"/>
    </w:rPr>
  </w:style>
  <w:style w:type="paragraph" w:customStyle="1" w:styleId="Firm5L6">
    <w:name w:val="Firm5_L6"/>
    <w:basedOn w:val="Firm5L5"/>
    <w:link w:val="Firm5L6Char"/>
    <w:rsid w:val="00E043E8"/>
    <w:pPr>
      <w:numPr>
        <w:ilvl w:val="5"/>
      </w:numPr>
      <w:tabs>
        <w:tab w:val="clear" w:pos="2880"/>
        <w:tab w:val="clear" w:pos="3600"/>
      </w:tabs>
      <w:spacing w:line="280" w:lineRule="exact"/>
      <w:outlineLvl w:val="5"/>
    </w:pPr>
  </w:style>
  <w:style w:type="character" w:customStyle="1" w:styleId="Firm5L6Char">
    <w:name w:val="Firm5_L6 Char"/>
    <w:link w:val="Firm5L6"/>
    <w:rsid w:val="00E043E8"/>
    <w:rPr>
      <w:rFonts w:ascii="Times New Roman" w:eastAsia="SimSun" w:hAnsi="Times New Roman" w:cs="Times New Roman"/>
      <w:sz w:val="22"/>
      <w:lang w:val="en-GB"/>
    </w:rPr>
  </w:style>
  <w:style w:type="paragraph" w:customStyle="1" w:styleId="Firm5L7">
    <w:name w:val="Firm5_L7"/>
    <w:basedOn w:val="Firm5L6"/>
    <w:link w:val="Firm5L7Char"/>
    <w:rsid w:val="00E043E8"/>
    <w:pPr>
      <w:numPr>
        <w:ilvl w:val="6"/>
      </w:numPr>
      <w:tabs>
        <w:tab w:val="num" w:pos="5040"/>
      </w:tabs>
      <w:spacing w:line="280" w:lineRule="atLeast"/>
      <w:outlineLvl w:val="6"/>
    </w:pPr>
  </w:style>
  <w:style w:type="character" w:customStyle="1" w:styleId="Firm5L7Char">
    <w:name w:val="Firm5_L7 Char"/>
    <w:link w:val="Firm5L7"/>
    <w:rsid w:val="00E043E8"/>
    <w:rPr>
      <w:rFonts w:ascii="Times New Roman" w:eastAsia="SimSun" w:hAnsi="Times New Roman" w:cs="Times New Roman"/>
      <w:sz w:val="22"/>
      <w:lang w:val="en-GB"/>
    </w:rPr>
  </w:style>
  <w:style w:type="paragraph" w:customStyle="1" w:styleId="Firm5L8">
    <w:name w:val="Firm5_L8"/>
    <w:basedOn w:val="Firm5L7"/>
    <w:link w:val="Firm5L8Char"/>
    <w:rsid w:val="00E043E8"/>
    <w:pPr>
      <w:numPr>
        <w:ilvl w:val="7"/>
      </w:numPr>
      <w:tabs>
        <w:tab w:val="clear" w:pos="5040"/>
        <w:tab w:val="num" w:pos="5760"/>
      </w:tabs>
      <w:outlineLvl w:val="7"/>
    </w:pPr>
  </w:style>
  <w:style w:type="character" w:customStyle="1" w:styleId="Firm5L8Char">
    <w:name w:val="Firm5_L8 Char"/>
    <w:link w:val="Firm5L8"/>
    <w:rsid w:val="00E043E8"/>
    <w:rPr>
      <w:rFonts w:ascii="Times New Roman" w:eastAsia="SimSun" w:hAnsi="Times New Roman" w:cs="Times New Roman"/>
      <w:sz w:val="22"/>
      <w:lang w:val="en-GB"/>
    </w:rPr>
  </w:style>
  <w:style w:type="paragraph" w:customStyle="1" w:styleId="Firm5L9">
    <w:name w:val="Firm5_L9"/>
    <w:basedOn w:val="Firm5L8"/>
    <w:link w:val="Firm5L9Char"/>
    <w:rsid w:val="00E043E8"/>
    <w:pPr>
      <w:numPr>
        <w:ilvl w:val="8"/>
      </w:numPr>
      <w:tabs>
        <w:tab w:val="clear" w:pos="5760"/>
        <w:tab w:val="num" w:pos="6480"/>
      </w:tabs>
      <w:outlineLvl w:val="8"/>
    </w:pPr>
  </w:style>
  <w:style w:type="character" w:customStyle="1" w:styleId="Firm5L9Char">
    <w:name w:val="Firm5_L9 Char"/>
    <w:link w:val="Firm5L9"/>
    <w:rsid w:val="00E043E8"/>
    <w:rPr>
      <w:rFonts w:ascii="Times New Roman" w:eastAsia="SimSu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document/download/39c8d72e-5756-4feb-9c24-ab0885dec6bf_en?filename=guidelines_application_of_article_102_TFEU.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11XC0114%2804%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Litera\Forte\Templates\Blank_A4_Portrait.dotm" TargetMode="External"/></Relationships>
</file>

<file path=word/theme/theme1.xml><?xml version="1.0" encoding="utf-8"?>
<a:theme xmlns:a="http://schemas.openxmlformats.org/drawingml/2006/main" name="Theme1">
  <a:themeElements>
    <a:clrScheme name="NEW Freshfields">
      <a:dk1>
        <a:srgbClr val="000000"/>
      </a:dk1>
      <a:lt1>
        <a:srgbClr val="FFFFFF"/>
      </a:lt1>
      <a:dk2>
        <a:srgbClr val="9D9785"/>
      </a:dk2>
      <a:lt2>
        <a:srgbClr val="F9F8ED"/>
      </a:lt2>
      <a:accent1>
        <a:srgbClr val="C38EC0"/>
      </a:accent1>
      <a:accent2>
        <a:srgbClr val="CCA44F"/>
      </a:accent2>
      <a:accent3>
        <a:srgbClr val="FF6835"/>
      </a:accent3>
      <a:accent4>
        <a:srgbClr val="708FFF"/>
      </a:accent4>
      <a:accent5>
        <a:srgbClr val="46BB51"/>
      </a:accent5>
      <a:accent6>
        <a:srgbClr val="CCCBBE"/>
      </a:accent6>
      <a:hlink>
        <a:srgbClr val="000000"/>
      </a:hlink>
      <a:folHlink>
        <a:srgbClr val="000000"/>
      </a:folHlink>
    </a:clrScheme>
    <a:fontScheme name="NEW Freshfields">
      <a:majorFont>
        <a:latin typeface="Freshfields Headline"/>
        <a:ea typeface=""/>
        <a:cs typeface=""/>
      </a:majorFont>
      <a:minorFont>
        <a:latin typeface="Freshfields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lIns="144000" tIns="144000" rIns="144000" bIns="144000" rtlCol="0" anchor="t"/>
      <a:lstStyle>
        <a:defPPr algn="l">
          <a:spcBef>
            <a:spcPts val="600"/>
          </a:spcBef>
          <a:spcAft>
            <a:spcPts val="600"/>
          </a:spcAft>
          <a:defRPr sz="1400" dirty="0" err="1" smtClean="0">
            <a:solidFill>
              <a:schemeClr val="tx1"/>
            </a:solidFill>
          </a:defRPr>
        </a:defPPr>
      </a:lstStyle>
      <a:style>
        <a:lnRef idx="2">
          <a:schemeClr val="accent1">
            <a:shade val="15000"/>
          </a:schemeClr>
        </a:lnRef>
        <a:fillRef idx="1">
          <a:schemeClr val="accent1"/>
        </a:fillRef>
        <a:effectRef idx="0">
          <a:schemeClr val="accent1"/>
        </a:effectRef>
        <a:fontRef idx="minor">
          <a:schemeClr val="lt1"/>
        </a:fontRef>
      </a:style>
    </a:spDef>
    <a:lnDef>
      <a:spPr>
        <a:ln w="9525">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Gray 01">
      <a:srgbClr val="9D9785"/>
    </a:custClr>
    <a:custClr name="Gray 02">
      <a:srgbClr val="CCCBBE"/>
    </a:custClr>
    <a:custClr name="Gray 03">
      <a:srgbClr val="F0EFEC"/>
    </a:custClr>
    <a:custClr name="Pink 01">
      <a:srgbClr val="CE8EC0"/>
    </a:custClr>
    <a:custClr name="Pink 02">
      <a:srgbClr val="E5C5EE"/>
    </a:custClr>
    <a:custClr name="Pink 03">
      <a:srgbClr val="F3E8FE"/>
    </a:custClr>
    <a:custClr name="Gold 01">
      <a:srgbClr val="CDA44F"/>
    </a:custClr>
    <a:custClr name="Gold 02">
      <a:srgbClr val="FBD78C"/>
    </a:custClr>
    <a:custClr name="Gold 03">
      <a:srgbClr val="FFF2D2"/>
    </a:custClr>
    <a:custClr name="Red 01">
      <a:srgbClr val="FF6834"/>
    </a:custClr>
    <a:custClr name="Red 02">
      <a:srgbClr val="FEC19D"/>
    </a:custClr>
    <a:custClr name="Red 03">
      <a:srgbClr val="FFE2D2"/>
    </a:custClr>
    <a:custClr name="Blue 0">
      <a:srgbClr val="6F8FFF"/>
    </a:custClr>
    <a:custClr name="Blue 02">
      <a:srgbClr val="A4D5FF"/>
    </a:custClr>
    <a:custClr name="Blue 03">
      <a:srgbClr val="CEE7FF"/>
    </a:custClr>
    <a:custClr name="Green 01">
      <a:srgbClr val="45BC51"/>
    </a:custClr>
    <a:custClr name="Green 02">
      <a:srgbClr val="C9EA85"/>
    </a:custClr>
    <a:custClr name="Green 03">
      <a:srgbClr val="F8FFB3"/>
    </a:custClr>
  </a:custClrLst>
  <a:extLst>
    <a:ext uri="{05A4C25C-085E-4340-85A3-A5531E510DB2}">
      <thm15:themeFamily xmlns:thm15="http://schemas.microsoft.com/office/thememl/2012/main" name="Theme1" id="{EE03290D-CF5D-4700-8E4A-7F2DCA0F3B34}" vid="{01C02ED7-4855-45F4-B7B8-4932275C4D8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grapher xmlns="64d6dd6a-86e0-45e9-811e-f1fb1176be70" xsi:nil="true"/>
    <lcf76f155ced4ddcb4097134ff3c332f xmlns="64d6dd6a-86e0-45e9-811e-f1fb1176be70">
      <Terms xmlns="http://schemas.microsoft.com/office/infopath/2007/PartnerControls"/>
    </lcf76f155ced4ddcb4097134ff3c332f>
    <Comments xmlns="64d6dd6a-86e0-45e9-811e-f1fb1176be70" xsi:nil="true"/>
    <TaxCatchAll xmlns="bfa5be07-8d87-49cd-a7eb-2c2be441714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823DD423B2C7046B65D339D12CB0445" ma:contentTypeVersion="18" ma:contentTypeDescription="Umožňuje vytvoriť nový dokument." ma:contentTypeScope="" ma:versionID="ff7c1de1f04004ef5e6d5ef24ce037db">
  <xsd:schema xmlns:xsd="http://www.w3.org/2001/XMLSchema" xmlns:xs="http://www.w3.org/2001/XMLSchema" xmlns:p="http://schemas.microsoft.com/office/2006/metadata/properties" xmlns:ns2="64d6dd6a-86e0-45e9-811e-f1fb1176be70" xmlns:ns3="bfa5be07-8d87-49cd-a7eb-2c2be441714d" targetNamespace="http://schemas.microsoft.com/office/2006/metadata/properties" ma:root="true" ma:fieldsID="d00db6868f34acfb266f3a0b41931675" ns2:_="" ns3:_="">
    <xsd:import namespace="64d6dd6a-86e0-45e9-811e-f1fb1176be70"/>
    <xsd:import namespace="bfa5be07-8d87-49cd-a7eb-2c2be4417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Comments" minOccurs="0"/>
                <xsd:element ref="ns2:MediaServiceBillingMetadata" minOccurs="0"/>
                <xsd:element ref="ns2:Photograph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6dd6a-86e0-45e9-811e-f1fb1176b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7b375fc6-31f1-4fcc-be2c-4401067b7b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hotographer" ma:index="25" nillable="true" ma:displayName="Photographer" ma:format="Dropdown" ma:internalName="Photograph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5be07-8d87-49cd-a7eb-2c2be441714d"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476db892-8da1-473d-85e4-4c9076ee2c49}" ma:internalName="TaxCatchAll" ma:showField="CatchAllData" ma:web="bfa5be07-8d87-49cd-a7eb-2c2be4417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1A0B3B-0769-4934-82D4-B84CDB8E12A7}">
  <ds:schemaRefs>
    <ds:schemaRef ds:uri="http://schemas.microsoft.com/office/2006/metadata/properties"/>
    <ds:schemaRef ds:uri="http://schemas.microsoft.com/office/infopath/2007/PartnerControls"/>
    <ds:schemaRef ds:uri="64d6dd6a-86e0-45e9-811e-f1fb1176be70"/>
    <ds:schemaRef ds:uri="bfa5be07-8d87-49cd-a7eb-2c2be441714d"/>
  </ds:schemaRefs>
</ds:datastoreItem>
</file>

<file path=customXml/itemProps2.xml><?xml version="1.0" encoding="utf-8"?>
<ds:datastoreItem xmlns:ds="http://schemas.openxmlformats.org/officeDocument/2006/customXml" ds:itemID="{3433FB49-AF19-48B3-BB47-60B58C9768C1}">
  <ds:schemaRefs>
    <ds:schemaRef ds:uri="http://schemas.openxmlformats.org/officeDocument/2006/bibliography"/>
  </ds:schemaRefs>
</ds:datastoreItem>
</file>

<file path=customXml/itemProps3.xml><?xml version="1.0" encoding="utf-8"?>
<ds:datastoreItem xmlns:ds="http://schemas.openxmlformats.org/officeDocument/2006/customXml" ds:itemID="{EC58BA82-7FD1-4DEF-9E2E-317F16BAC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6dd6a-86e0-45e9-811e-f1fb1176be70"/>
    <ds:schemaRef ds:uri="bfa5be07-8d87-49cd-a7eb-2c2be4417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618E2-D0E4-4AAC-9BFA-220CEE260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Blank_A4_Portrait</Template>
  <TotalTime>0</TotalTime>
  <Pages>51</Pages>
  <Words>22391</Words>
  <Characters>130767</Characters>
  <Application>Microsoft Office Word</Application>
  <DocSecurity>0</DocSecurity>
  <Lines>2011</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152743</CharactersWithSpaces>
  <SharedDoc>false</SharedDoc>
  <HLinks>
    <vt:vector size="30" baseType="variant">
      <vt:variant>
        <vt:i4>3801112</vt:i4>
      </vt:variant>
      <vt:variant>
        <vt:i4>18</vt:i4>
      </vt:variant>
      <vt:variant>
        <vt:i4>0</vt:i4>
      </vt:variant>
      <vt:variant>
        <vt:i4>5</vt:i4>
      </vt:variant>
      <vt:variant>
        <vt:lpwstr/>
      </vt:variant>
      <vt:variant>
        <vt:lpwstr>_ftn32</vt:lpwstr>
      </vt:variant>
      <vt:variant>
        <vt:i4>4063257</vt:i4>
      </vt:variant>
      <vt:variant>
        <vt:i4>15</vt:i4>
      </vt:variant>
      <vt:variant>
        <vt:i4>0</vt:i4>
      </vt:variant>
      <vt:variant>
        <vt:i4>5</vt:i4>
      </vt:variant>
      <vt:variant>
        <vt:lpwstr/>
      </vt:variant>
      <vt:variant>
        <vt:lpwstr>_ftn26</vt:lpwstr>
      </vt:variant>
      <vt:variant>
        <vt:i4>262146</vt:i4>
      </vt:variant>
      <vt:variant>
        <vt:i4>3</vt:i4>
      </vt:variant>
      <vt:variant>
        <vt:i4>0</vt:i4>
      </vt:variant>
      <vt:variant>
        <vt:i4>5</vt:i4>
      </vt:variant>
      <vt:variant>
        <vt:lpwstr>https://competition-policy.ec.europa.eu/document/download/39c8d72e-5756-4feb-9c24-ab0885dec6bf_en?filename=guidelines_application_of_article_102_TFEU.zip</vt:lpwstr>
      </vt:variant>
      <vt:variant>
        <vt:lpwstr/>
      </vt:variant>
      <vt:variant>
        <vt:i4>524331</vt:i4>
      </vt:variant>
      <vt:variant>
        <vt:i4>0</vt:i4>
      </vt:variant>
      <vt:variant>
        <vt:i4>0</vt:i4>
      </vt:variant>
      <vt:variant>
        <vt:i4>5</vt:i4>
      </vt:variant>
      <vt:variant>
        <vt:lpwstr/>
      </vt:variant>
      <vt:variant>
        <vt:lpwstr>_ftn5</vt:lpwstr>
      </vt:variant>
      <vt:variant>
        <vt:i4>327687</vt:i4>
      </vt:variant>
      <vt:variant>
        <vt:i4>0</vt:i4>
      </vt:variant>
      <vt:variant>
        <vt:i4>0</vt:i4>
      </vt:variant>
      <vt:variant>
        <vt:i4>5</vt:i4>
      </vt:variant>
      <vt:variant>
        <vt:lpwstr>https://eur-lex.europa.eu/legal-content/EN/TXT/?uri=CELEX:52011XC0114%2804%29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Freshfields</dc:creator>
  <cp:keywords/>
  <dc:description/>
  <cp:lastModifiedBy>COLIN-DUBUISSON, Charlotte (CCD)</cp:lastModifiedBy>
  <cp:revision>3</cp:revision>
  <dcterms:created xsi:type="dcterms:W3CDTF">2026-06-26T16:04:00Z</dcterms:created>
  <dcterms:modified xsi:type="dcterms:W3CDTF">2026-06-26T16:04:00Z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0x010100B823DD423B2C7046B65D339D12CB0445</vt:lpwstr>
  </property>
</Properties>
</file>